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9ACBC" w14:textId="775E8D7D" w:rsidR="00726690" w:rsidRPr="00726690" w:rsidRDefault="00726690" w:rsidP="00726690">
      <w:pPr>
        <w:pStyle w:val="NoSpacing"/>
        <w:bidi/>
        <w:jc w:val="center"/>
        <w:rPr>
          <w:rFonts w:ascii="IRANSharp" w:hAnsi="IRANSharp" w:cs="IRANSharp"/>
          <w:b/>
          <w:bCs/>
          <w:sz w:val="32"/>
          <w:szCs w:val="32"/>
        </w:rPr>
      </w:pPr>
      <w:bookmarkStart w:id="0" w:name="_1pxezwc" w:colFirst="0" w:colLast="0"/>
      <w:bookmarkEnd w:id="0"/>
      <w:r w:rsidRPr="00726690">
        <w:rPr>
          <w:rFonts w:ascii="IRANSharp" w:hAnsi="IRANSharp" w:cs="IRANSharp"/>
          <w:b/>
          <w:bCs/>
          <w:sz w:val="32"/>
          <w:szCs w:val="32"/>
          <w:rtl/>
        </w:rPr>
        <w:t xml:space="preserve">جلسه پنجاه و پنجم (۱۹۹۹): </w:t>
      </w:r>
      <w:r>
        <w:rPr>
          <w:rFonts w:ascii="IRANSharp" w:hAnsi="IRANSharp" w:cs="IRANSharp"/>
          <w:b/>
          <w:bCs/>
          <w:sz w:val="32"/>
          <w:szCs w:val="32"/>
          <w:rtl/>
        </w:rPr>
        <w:t>اظهارنظر</w:t>
      </w:r>
      <w:r w:rsidRPr="00726690">
        <w:rPr>
          <w:rFonts w:ascii="IRANSharp" w:hAnsi="IRANSharp" w:cs="IRANSharp"/>
          <w:b/>
          <w:bCs/>
          <w:sz w:val="32"/>
          <w:szCs w:val="32"/>
          <w:rtl/>
        </w:rPr>
        <w:t xml:space="preserve"> عمومی ۲۴؛</w:t>
      </w:r>
    </w:p>
    <w:p w14:paraId="00000001" w14:textId="6471804C" w:rsidR="00247802" w:rsidRPr="00726690" w:rsidRDefault="00726690" w:rsidP="00726690">
      <w:pPr>
        <w:pStyle w:val="NoSpacing"/>
        <w:bidi/>
        <w:jc w:val="center"/>
        <w:rPr>
          <w:rFonts w:ascii="IRANSharp" w:hAnsi="IRANSharp" w:cs="IRANSharp"/>
          <w:b/>
          <w:bCs/>
          <w:sz w:val="24"/>
          <w:szCs w:val="24"/>
        </w:rPr>
      </w:pPr>
      <w:r w:rsidRPr="00726690">
        <w:rPr>
          <w:rFonts w:ascii="IRANSharp" w:hAnsi="IRANSharp" w:cs="IRANSharp"/>
          <w:b/>
          <w:bCs/>
          <w:sz w:val="24"/>
          <w:szCs w:val="24"/>
          <w:rtl/>
        </w:rPr>
        <w:t>در مورد ماده ۱ کنوانسیون*</w:t>
      </w:r>
    </w:p>
    <w:p w14:paraId="38188E1A" w14:textId="77777777" w:rsidR="00726690" w:rsidRDefault="00726690" w:rsidP="0072669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21104135" w14:textId="77777777" w:rsidR="00726690" w:rsidRDefault="00726690" w:rsidP="0072669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02" w14:textId="17053EE0" w:rsidR="00247802" w:rsidRPr="00726690" w:rsidRDefault="00726690" w:rsidP="0072669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726690">
        <w:rPr>
          <w:rFonts w:ascii="IRANSharp" w:eastAsia="Aparajita" w:hAnsi="IRANSharp" w:cs="IRANSharp"/>
          <w:sz w:val="24"/>
          <w:szCs w:val="24"/>
          <w:rtl/>
        </w:rPr>
        <w:t>۱.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کم</w:t>
      </w:r>
      <w:r>
        <w:rPr>
          <w:rFonts w:ascii="IRANSharp" w:eastAsia="Aparajita" w:hAnsi="IRANSharp" w:cs="IRANSharp" w:hint="cs"/>
          <w:sz w:val="24"/>
          <w:szCs w:val="24"/>
          <w:rtl/>
        </w:rPr>
        <w:t>یته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تأکید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که طبق تعریف مندرج در پاراگراف ۱ ماده ۱ کنوانسیون بین‌المللی رفع کلیه اشکال تبعیض نژادی،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کنوانسیون مربوط به همه افرادی است که متعلق به نژادهای مختلف، </w:t>
      </w:r>
      <w:r>
        <w:rPr>
          <w:rFonts w:ascii="IRANSharp" w:eastAsia="Aparajita" w:hAnsi="IRANSharp" w:cs="IRANSharp"/>
          <w:sz w:val="24"/>
          <w:szCs w:val="24"/>
          <w:rtl/>
        </w:rPr>
        <w:t>گروه‌های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ملی یا قومی یا بومیان هستند. جهت بررسی درخور از گزارشات دورهای کشورهای عضو توسط کمیته، ضروری است که </w:t>
      </w:r>
      <w:r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عضو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726690">
        <w:rPr>
          <w:rFonts w:ascii="IRANSharp" w:eastAsia="Aparajita" w:hAnsi="IRANSharp" w:cs="IRANSharp"/>
          <w:sz w:val="24"/>
          <w:szCs w:val="24"/>
          <w:rtl/>
        </w:rPr>
        <w:t>تا آنجا که امکان دارد، اطلاعاتی در مورد حضور چنین گروه‌هایی در خاک خود در اختیار کمیته قرار دهند.</w:t>
      </w:r>
    </w:p>
    <w:p w14:paraId="7C9EB321" w14:textId="77777777" w:rsidR="001E1F04" w:rsidRDefault="001E1F04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</w:p>
    <w:p w14:paraId="00000003" w14:textId="11C609C8" w:rsidR="00247802" w:rsidRDefault="00726690" w:rsidP="001E1F04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726690">
        <w:rPr>
          <w:rFonts w:ascii="IRANSharp" w:eastAsia="Aparajita" w:hAnsi="IRANSharp" w:cs="IRANSharp"/>
          <w:sz w:val="24"/>
          <w:szCs w:val="24"/>
          <w:rtl/>
        </w:rPr>
        <w:t>۲.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گزارش‌های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دورهای ارسالی به کمیته تحت ماده ۹ کنوانسیون </w:t>
      </w:r>
      <w:r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رفع کلیه اشکال تبعیض نژادی و سایر اطلاعات دریافت شده توسط کمیته حاکی از آن است که تعدادی از کشورهای عضو، حضور برخی از </w:t>
      </w:r>
      <w:r>
        <w:rPr>
          <w:rFonts w:ascii="IRANSharp" w:eastAsia="Aparajita" w:hAnsi="IRANSharp" w:cs="IRANSharp"/>
          <w:sz w:val="24"/>
          <w:szCs w:val="24"/>
          <w:rtl/>
        </w:rPr>
        <w:t>گروه‌های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ملی یا قومی و یا مردم بومی را در قلمرو خود به رسمیت شناخته، </w:t>
      </w:r>
      <w:r>
        <w:rPr>
          <w:rFonts w:ascii="IRANSharp" w:eastAsia="Aparajita" w:hAnsi="IRANSharp" w:cs="IRANSharp"/>
          <w:sz w:val="24"/>
          <w:szCs w:val="24"/>
          <w:rtl/>
        </w:rPr>
        <w:t>درحالی‌که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برخی دیگر را نادیده </w:t>
      </w:r>
      <w:r>
        <w:rPr>
          <w:rFonts w:ascii="IRANSharp" w:eastAsia="Aparajita" w:hAnsi="IRANSharp" w:cs="IRANSharp"/>
          <w:sz w:val="24"/>
          <w:szCs w:val="24"/>
          <w:rtl/>
        </w:rPr>
        <w:t>گرفته‌اند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. معیارهای خاص باید </w:t>
      </w:r>
      <w:r>
        <w:rPr>
          <w:rFonts w:ascii="IRANSharp" w:eastAsia="Aparajita" w:hAnsi="IRANSharp" w:cs="IRANSharp"/>
          <w:sz w:val="24"/>
          <w:szCs w:val="24"/>
          <w:rtl/>
        </w:rPr>
        <w:t>به‌طور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یکنواخت به همه </w:t>
      </w:r>
      <w:r>
        <w:rPr>
          <w:rFonts w:ascii="IRANSharp" w:eastAsia="Aparajita" w:hAnsi="IRANSharp" w:cs="IRANSharp"/>
          <w:sz w:val="24"/>
          <w:szCs w:val="24"/>
          <w:rtl/>
        </w:rPr>
        <w:t>گروه‌های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که دارای نژاد، رنگ، تبار، ملیت یا قومیت متفاوت دارند، اعمال شود.</w:t>
      </w:r>
    </w:p>
    <w:p w14:paraId="6F4AF6CA" w14:textId="77777777" w:rsidR="001E1F04" w:rsidRPr="00726690" w:rsidRDefault="001E1F04" w:rsidP="001E1F04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04" w14:textId="0C5F85BA" w:rsidR="00247802" w:rsidRDefault="0072669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726690">
        <w:rPr>
          <w:rFonts w:ascii="IRANSharp" w:eastAsia="Aparajita" w:hAnsi="IRANSharp" w:cs="IRANSharp"/>
          <w:sz w:val="24"/>
          <w:szCs w:val="24"/>
          <w:rtl/>
        </w:rPr>
        <w:t>۳.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بعض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از </w:t>
      </w:r>
      <w:r>
        <w:rPr>
          <w:rFonts w:ascii="IRANSharp" w:eastAsia="Aparajita" w:hAnsi="IRANSharp" w:cs="IRANSharp"/>
          <w:sz w:val="24"/>
          <w:szCs w:val="24"/>
          <w:rtl/>
        </w:rPr>
        <w:t>دولت‌ها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در </w:t>
      </w:r>
      <w:r>
        <w:rPr>
          <w:rFonts w:ascii="IRANSharp" w:eastAsia="Aparajita" w:hAnsi="IRANSharp" w:cs="IRANSharp"/>
          <w:sz w:val="24"/>
          <w:szCs w:val="24"/>
          <w:rtl/>
        </w:rPr>
        <w:t>جمع‌آوری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داده‌های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مربوط به ریشه قومیت یا ملیت شهروندان یا افراد دیگری که در سرزمین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زندگی </w:t>
      </w:r>
      <w:r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، کوتاهی </w:t>
      </w:r>
      <w:r>
        <w:rPr>
          <w:rFonts w:ascii="IRANSharp" w:eastAsia="Aparajita" w:hAnsi="IRANSharp" w:cs="IRANSharp"/>
          <w:sz w:val="24"/>
          <w:szCs w:val="24"/>
          <w:rtl/>
        </w:rPr>
        <w:t>نموده‌اند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و به اختیار خود تصمیم </w:t>
      </w:r>
      <w:r>
        <w:rPr>
          <w:rFonts w:ascii="IRANSharp" w:eastAsia="Aparajita" w:hAnsi="IRANSharp" w:cs="IRANSharp"/>
          <w:sz w:val="24"/>
          <w:szCs w:val="24"/>
          <w:rtl/>
        </w:rPr>
        <w:t>می‌گیرند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که کدام </w:t>
      </w:r>
      <w:r>
        <w:rPr>
          <w:rFonts w:ascii="IRANSharp" w:eastAsia="Aparajita" w:hAnsi="IRANSharp" w:cs="IRANSharp"/>
          <w:sz w:val="24"/>
          <w:szCs w:val="24"/>
          <w:rtl/>
        </w:rPr>
        <w:t>گروه‌ها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، </w:t>
      </w:r>
      <w:r>
        <w:rPr>
          <w:rFonts w:ascii="IRANSharp" w:eastAsia="Aparajita" w:hAnsi="IRANSharp" w:cs="IRANSharp"/>
          <w:sz w:val="24"/>
          <w:szCs w:val="24"/>
          <w:rtl/>
        </w:rPr>
        <w:t>گروه‌های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قومی یا بومی هستند که باید به رسمیت بشناسند و چگونه با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رفتار کنند. کمیته معتقد است که یک استاندارد بین‌المللی مربوط به حقوق خاص افراد متعلق به این </w:t>
      </w:r>
      <w:r>
        <w:rPr>
          <w:rFonts w:ascii="IRANSharp" w:eastAsia="Aparajita" w:hAnsi="IRANSharp" w:cs="IRANSharp"/>
          <w:sz w:val="24"/>
          <w:szCs w:val="24"/>
          <w:rtl/>
        </w:rPr>
        <w:t>گروه‌ها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همراه با هنجارهای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کلی به رسمیت </w:t>
      </w:r>
      <w:r>
        <w:rPr>
          <w:rFonts w:ascii="IRANSharp" w:eastAsia="Aparajita" w:hAnsi="IRANSharp" w:cs="IRANSharp"/>
          <w:sz w:val="24"/>
          <w:szCs w:val="24"/>
          <w:rtl/>
        </w:rPr>
        <w:t>شناخته‌شده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در مورد حقوق برابر برای همه و عدم تبعیض، </w:t>
      </w:r>
      <w:r>
        <w:rPr>
          <w:rFonts w:ascii="IRANSharp" w:eastAsia="Aparajita" w:hAnsi="IRANSharp" w:cs="IRANSharp"/>
          <w:sz w:val="24"/>
          <w:szCs w:val="24"/>
          <w:rtl/>
        </w:rPr>
        <w:t>ازجمله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موارد مندرج در کنوانسیون </w:t>
      </w:r>
      <w:r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لغو کلیه اشکال تبعیض نژادی وجود دارد. </w:t>
      </w:r>
      <w:r>
        <w:rPr>
          <w:rFonts w:ascii="IRANSharp" w:eastAsia="Aparajita" w:hAnsi="IRANSharp" w:cs="IRANSharp"/>
          <w:sz w:val="24"/>
          <w:szCs w:val="24"/>
          <w:rtl/>
        </w:rPr>
        <w:t>درعین‌حال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، کمیته توجه </w:t>
      </w:r>
      <w:r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عضو را به استفاده از معیارهای مختلف برای تعیین </w:t>
      </w:r>
      <w:r>
        <w:rPr>
          <w:rFonts w:ascii="IRANSharp" w:eastAsia="Aparajita" w:hAnsi="IRANSharp" w:cs="IRANSharp"/>
          <w:sz w:val="24"/>
          <w:szCs w:val="24"/>
          <w:rtl/>
        </w:rPr>
        <w:t>گروه‌های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قومی یا مردم بومی که منجر به شناسایی یا عدم شناسایی گروهای دیگر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و درنتیجه منجر به رفتار متفاوت می‌شود، جلب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726690">
        <w:rPr>
          <w:rFonts w:ascii="IRANSharp" w:eastAsia="Aparajita" w:hAnsi="IRANSharp" w:cs="IRANSharp"/>
          <w:sz w:val="24"/>
          <w:szCs w:val="24"/>
          <w:rtl/>
        </w:rPr>
        <w:t>.</w:t>
      </w:r>
    </w:p>
    <w:p w14:paraId="29EAA2B0" w14:textId="77777777" w:rsidR="001E1F04" w:rsidRPr="00726690" w:rsidRDefault="001E1F04" w:rsidP="001E1F04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05" w14:textId="2AF995EA" w:rsidR="00247802" w:rsidRPr="00726690" w:rsidRDefault="0072669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726690">
        <w:rPr>
          <w:rFonts w:ascii="IRANSharp" w:eastAsia="Aparajita" w:hAnsi="IRANSharp" w:cs="IRANSharp"/>
          <w:sz w:val="24"/>
          <w:szCs w:val="24"/>
          <w:rtl/>
        </w:rPr>
        <w:t>۴.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کم</w:t>
      </w:r>
      <w:r>
        <w:rPr>
          <w:rFonts w:ascii="IRANSharp" w:eastAsia="Aparajita" w:hAnsi="IRANSharp" w:cs="IRANSharp" w:hint="cs"/>
          <w:sz w:val="24"/>
          <w:szCs w:val="24"/>
          <w:rtl/>
        </w:rPr>
        <w:t>یته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، </w:t>
      </w:r>
      <w:r>
        <w:rPr>
          <w:rFonts w:ascii="IRANSharp" w:eastAsia="Aparajita" w:hAnsi="IRANSharp" w:cs="IRANSharp"/>
          <w:sz w:val="24"/>
          <w:szCs w:val="24"/>
          <w:rtl/>
        </w:rPr>
        <w:t>اظهارنظر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عمومی شماره ۴ را که در جلسه هشتم آن در سال ۱۹۷۳ 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تصویب‌شده </w:t>
      </w:r>
      <w:r w:rsidRPr="00726690">
        <w:rPr>
          <w:rFonts w:ascii="IRANSharp" w:eastAsia="Aparajita" w:hAnsi="IRANSharp" w:cs="IRANSharp"/>
          <w:sz w:val="24"/>
          <w:szCs w:val="24"/>
          <w:rtl/>
        </w:rPr>
        <w:t>و پاراگراف ۸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دستورالعمل‌های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عمومی مربوط به فرم و محتویات </w:t>
      </w:r>
      <w:r>
        <w:rPr>
          <w:rFonts w:ascii="IRANSharp" w:eastAsia="Aparajita" w:hAnsi="IRANSharp" w:cs="IRANSharp"/>
          <w:sz w:val="24"/>
          <w:szCs w:val="24"/>
          <w:rtl/>
        </w:rPr>
        <w:t>گزارش‌های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ارائه‌شده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توسط کشورهای عضو در پاراگراف ۱ ماده ۹ کنوانسیون </w:t>
      </w:r>
      <w:r>
        <w:rPr>
          <w:rFonts w:ascii="IRANSharp" w:eastAsia="Aparajita" w:hAnsi="IRANSharp" w:cs="IRANSharp" w:hint="cs"/>
          <w:sz w:val="24"/>
          <w:szCs w:val="24"/>
          <w:rtl/>
        </w:rPr>
        <w:t>(</w:t>
      </w:r>
      <w:r w:rsidRPr="00726690">
        <w:rPr>
          <w:rFonts w:ascii="IRANSharp" w:eastAsia="Aparajita" w:hAnsi="IRANSharp" w:cs="IRANSharp"/>
          <w:sz w:val="24"/>
          <w:szCs w:val="24"/>
        </w:rPr>
        <w:t>CERD / C / 70 / Rev</w:t>
      </w:r>
      <w:r>
        <w:rPr>
          <w:rFonts w:ascii="IRANSharp" w:eastAsia="Aparajita" w:hAnsi="IRANSharp" w:cs="IRANSharp"/>
          <w:sz w:val="24"/>
          <w:szCs w:val="24"/>
          <w:rtl/>
        </w:rPr>
        <w:t>.3</w:t>
      </w:r>
      <w:r>
        <w:rPr>
          <w:rFonts w:ascii="IRANSharp" w:eastAsia="Aparajita" w:hAnsi="IRANSharp" w:cs="IRANSharp" w:hint="cs"/>
          <w:sz w:val="24"/>
          <w:szCs w:val="24"/>
          <w:rtl/>
        </w:rPr>
        <w:t xml:space="preserve">) 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را یادآوری کرده و از کشورها برای گنجاندن اطلاعات مرتبط در مورد ترکیب آماری جمعیتی‌شان با توجه به مقررات ماده ۱ کنوانسیون، در خصوص درج اطلاعات در مورد نژاد، رنگ، تبار و ملیت یا قومیت در موارد مناسب، دعوت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726690">
        <w:rPr>
          <w:rFonts w:ascii="IRANSharp" w:eastAsia="Aparajita" w:hAnsi="IRANSharp" w:cs="IRANSharp"/>
          <w:sz w:val="24"/>
          <w:szCs w:val="24"/>
          <w:rtl/>
        </w:rPr>
        <w:t>.</w:t>
      </w:r>
      <w:r w:rsidR="001E1F04">
        <w:rPr>
          <w:rStyle w:val="FootnoteReference"/>
          <w:rFonts w:ascii="IRANSharp" w:eastAsia="Aparajita" w:hAnsi="IRANSharp" w:cs="IRANSharp"/>
          <w:sz w:val="24"/>
          <w:szCs w:val="24"/>
          <w:rtl/>
        </w:rPr>
        <w:footnoteReference w:id="1"/>
      </w:r>
    </w:p>
    <w:p w14:paraId="00000008" w14:textId="248CCFA2" w:rsidR="00247802" w:rsidRPr="00A572FA" w:rsidRDefault="00726690" w:rsidP="00A572FA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726690">
        <w:rPr>
          <w:rFonts w:ascii="IRANSharp" w:eastAsia="Aparajita" w:hAnsi="IRANSharp" w:cs="IRANSharp"/>
          <w:sz w:val="24"/>
          <w:szCs w:val="24"/>
          <w:rtl/>
        </w:rPr>
        <w:t>* مندرج در سند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726690">
        <w:rPr>
          <w:rFonts w:ascii="IRANSharp" w:eastAsia="Calibri" w:hAnsi="IRANSharp" w:cs="IRANSharp"/>
          <w:sz w:val="24"/>
          <w:szCs w:val="24"/>
        </w:rPr>
        <w:t>A/54/18</w:t>
      </w:r>
      <w:r w:rsidRPr="00726690">
        <w:rPr>
          <w:rFonts w:ascii="IRANSharp" w:eastAsia="Aparajita" w:hAnsi="IRANSharp" w:cs="IRANSharp"/>
          <w:sz w:val="24"/>
          <w:szCs w:val="24"/>
          <w:rtl/>
        </w:rPr>
        <w:t>،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ضم</w:t>
      </w:r>
      <w:r>
        <w:rPr>
          <w:rFonts w:ascii="IRANSharp" w:eastAsia="Aparajita" w:hAnsi="IRANSharp" w:cs="IRANSharp" w:hint="cs"/>
          <w:sz w:val="24"/>
          <w:szCs w:val="24"/>
          <w:rtl/>
        </w:rPr>
        <w:t>یمه</w:t>
      </w:r>
      <w:r w:rsidRPr="00726690">
        <w:rPr>
          <w:rFonts w:ascii="IRANSharp" w:eastAsia="Aparajita" w:hAnsi="IRANSharp" w:cs="IRANSharp"/>
          <w:sz w:val="24"/>
          <w:szCs w:val="24"/>
          <w:rtl/>
        </w:rPr>
        <w:t xml:space="preserve"> ۵</w:t>
      </w:r>
      <w:bookmarkStart w:id="1" w:name="_GoBack"/>
      <w:bookmarkEnd w:id="1"/>
    </w:p>
    <w:sectPr w:rsidR="00247802" w:rsidRPr="00A572FA" w:rsidSect="00686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D0DFE" w14:textId="77777777" w:rsidR="00FE01F4" w:rsidRDefault="00FE01F4" w:rsidP="001E1F04">
      <w:pPr>
        <w:spacing w:line="240" w:lineRule="auto"/>
      </w:pPr>
      <w:r>
        <w:separator/>
      </w:r>
    </w:p>
  </w:endnote>
  <w:endnote w:type="continuationSeparator" w:id="0">
    <w:p w14:paraId="58C72C45" w14:textId="77777777" w:rsidR="00FE01F4" w:rsidRDefault="00FE01F4" w:rsidP="001E1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Aparajit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4B3BD" w14:textId="77777777" w:rsidR="001E1F04" w:rsidRDefault="001E1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23A62" w14:textId="77777777" w:rsidR="001E1F04" w:rsidRDefault="001E1F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48D72" w14:textId="77777777" w:rsidR="001E1F04" w:rsidRDefault="001E1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F536B" w14:textId="77777777" w:rsidR="00FE01F4" w:rsidRDefault="00FE01F4" w:rsidP="001E1F04">
      <w:pPr>
        <w:spacing w:line="240" w:lineRule="auto"/>
      </w:pPr>
      <w:r>
        <w:separator/>
      </w:r>
    </w:p>
  </w:footnote>
  <w:footnote w:type="continuationSeparator" w:id="0">
    <w:p w14:paraId="75C66208" w14:textId="77777777" w:rsidR="00FE01F4" w:rsidRDefault="00FE01F4" w:rsidP="001E1F04">
      <w:pPr>
        <w:spacing w:line="240" w:lineRule="auto"/>
      </w:pPr>
      <w:r>
        <w:continuationSeparator/>
      </w:r>
    </w:p>
  </w:footnote>
  <w:footnote w:id="1">
    <w:p w14:paraId="43F8F66B" w14:textId="79BC050B" w:rsidR="001E1F04" w:rsidRDefault="001E1F04" w:rsidP="001E1F0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لطفاً برا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متن اصل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</w:t>
      </w:r>
      <w:hyperlink r:id="rId1" w:history="1">
        <w:r w:rsidRPr="001E1F04">
          <w:rPr>
            <w:rStyle w:val="Hyperlink"/>
            <w:rFonts w:ascii="IRANSharp" w:hAnsi="IRANSharp" w:cs="IRANSharp"/>
            <w:sz w:val="16"/>
            <w:szCs w:val="16"/>
            <w:rtl/>
            <w:lang w:bidi="fa-IR"/>
          </w:rPr>
          <w:t>ا</w:t>
        </w:r>
        <w:r w:rsidRPr="001E1F04">
          <w:rPr>
            <w:rStyle w:val="Hyperlink"/>
            <w:rFonts w:ascii="IRANSharp" w:hAnsi="IRANSharp" w:cs="IRANSharp" w:hint="cs"/>
            <w:sz w:val="16"/>
            <w:szCs w:val="16"/>
            <w:rtl/>
            <w:lang w:bidi="fa-IR"/>
          </w:rPr>
          <w:t>ی</w:t>
        </w:r>
        <w:r w:rsidRPr="001E1F04">
          <w:rPr>
            <w:rStyle w:val="Hyperlink"/>
            <w:rFonts w:ascii="IRANSharp" w:hAnsi="IRANSharp" w:cs="IRANSharp" w:hint="eastAsia"/>
            <w:sz w:val="16"/>
            <w:szCs w:val="16"/>
            <w:rtl/>
            <w:lang w:bidi="fa-IR"/>
          </w:rPr>
          <w:t>نجا</w:t>
        </w:r>
      </w:hyperlink>
      <w:r>
        <w:rPr>
          <w:rFonts w:ascii="IRANSharp" w:hAnsi="IRANSharp" w:cs="IRANSharp"/>
          <w:sz w:val="16"/>
          <w:szCs w:val="16"/>
          <w:rtl/>
          <w:lang w:bidi="fa-IR"/>
        </w:rPr>
        <w:t xml:space="preserve"> را </w:t>
      </w:r>
      <w:r>
        <w:rPr>
          <w:rFonts w:ascii="IRANSharp" w:hAnsi="IRANSharp" w:cs="IRANSharp" w:hint="cs"/>
          <w:sz w:val="16"/>
          <w:szCs w:val="16"/>
          <w:rtl/>
          <w:lang w:bidi="fa-IR"/>
        </w:rPr>
        <w:t>نگاه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کن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 w:hint="eastAsia"/>
          <w:sz w:val="16"/>
          <w:szCs w:val="16"/>
          <w:rtl/>
          <w:lang w:bidi="fa-IR"/>
        </w:rPr>
        <w:t>د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A2F4" w14:textId="10B1F2E5" w:rsidR="001E1F04" w:rsidRDefault="00FE01F4">
    <w:pPr>
      <w:pStyle w:val="Header"/>
    </w:pPr>
    <w:r>
      <w:rPr>
        <w:noProof/>
        <w:lang w:val="en-US"/>
      </w:rPr>
      <w:pict w14:anchorId="15BFE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44454" o:spid="_x0000_s2050" type="#_x0000_t75" style="position:absolute;margin-left:0;margin-top:0;width:451.3pt;height:396.75pt;z-index:-251657216;mso-position-horizontal:center;mso-position-horizontal-relative:margin;mso-position-vertical:center;mso-position-vertical-relative:margin" o:allowincell="f">
          <v:imagedata r:id="rId1" o:title="10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FEE27" w14:textId="7F1CE8D3" w:rsidR="001E1F04" w:rsidRDefault="00FE01F4">
    <w:pPr>
      <w:pStyle w:val="Header"/>
    </w:pPr>
    <w:r>
      <w:rPr>
        <w:noProof/>
        <w:lang w:val="en-US"/>
      </w:rPr>
      <w:pict w14:anchorId="131CE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44455" o:spid="_x0000_s2051" type="#_x0000_t75" style="position:absolute;margin-left:0;margin-top:0;width:451.3pt;height:396.75pt;z-index:-251656192;mso-position-horizontal:center;mso-position-horizontal-relative:margin;mso-position-vertical:center;mso-position-vertical-relative:margin" o:allowincell="f">
          <v:imagedata r:id="rId1" o:title="10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2CE2" w14:textId="664322C8" w:rsidR="001E1F04" w:rsidRDefault="00FE01F4">
    <w:pPr>
      <w:pStyle w:val="Header"/>
    </w:pPr>
    <w:r>
      <w:rPr>
        <w:noProof/>
        <w:lang w:val="en-US"/>
      </w:rPr>
      <w:pict w14:anchorId="389A4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044453" o:spid="_x0000_s2049" type="#_x0000_t75" style="position:absolute;margin-left:0;margin-top:0;width:451.3pt;height:396.75pt;z-index:-251658240;mso-position-horizontal:center;mso-position-horizontal-relative:margin;mso-position-vertical:center;mso-position-vertical-relative:margin" o:allowincell="f">
          <v:imagedata r:id="rId1" o:title="10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02"/>
    <w:rsid w:val="001E1F04"/>
    <w:rsid w:val="00247802"/>
    <w:rsid w:val="005B4FDC"/>
    <w:rsid w:val="00686711"/>
    <w:rsid w:val="00726690"/>
    <w:rsid w:val="00A572FA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59A04B2-0699-477E-BA2A-0E2BAF93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726690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1F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04"/>
  </w:style>
  <w:style w:type="paragraph" w:styleId="Footer">
    <w:name w:val="footer"/>
    <w:basedOn w:val="Normal"/>
    <w:link w:val="FooterChar"/>
    <w:uiPriority w:val="99"/>
    <w:unhideWhenUsed/>
    <w:rsid w:val="001E1F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04"/>
  </w:style>
  <w:style w:type="paragraph" w:styleId="FootnoteText">
    <w:name w:val="footnote text"/>
    <w:basedOn w:val="Normal"/>
    <w:link w:val="FootnoteTextChar"/>
    <w:uiPriority w:val="99"/>
    <w:semiHidden/>
    <w:unhideWhenUsed/>
    <w:rsid w:val="001E1F0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F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F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1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INT%2fCERD%2fGEC%2f7496&amp;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4015-409E-440A-AF29-B27F5F63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6</cp:revision>
  <dcterms:created xsi:type="dcterms:W3CDTF">2020-04-03T13:04:00Z</dcterms:created>
  <dcterms:modified xsi:type="dcterms:W3CDTF">2020-04-08T10:21:00Z</dcterms:modified>
</cp:coreProperties>
</file>