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16EB" w14:textId="77777777" w:rsidR="000E1C7A" w:rsidRPr="008A6D9B" w:rsidRDefault="000E1C7A" w:rsidP="008A6D9B">
      <w:pPr>
        <w:pStyle w:val="NoSpacing"/>
        <w:bidi/>
        <w:jc w:val="center"/>
        <w:rPr>
          <w:rFonts w:ascii="IRANSharp" w:hAnsi="IRANSharp" w:cs="IRANSharp"/>
          <w:b/>
          <w:bCs/>
          <w:sz w:val="32"/>
          <w:szCs w:val="32"/>
        </w:rPr>
      </w:pPr>
      <w:r w:rsidRPr="008A6D9B">
        <w:rPr>
          <w:rFonts w:ascii="IRANSharp" w:hAnsi="IRANSharp" w:cs="IRANSharp"/>
          <w:b/>
          <w:bCs/>
          <w:sz w:val="32"/>
          <w:szCs w:val="32"/>
          <w:rtl/>
        </w:rPr>
        <w:t>اظهارنظر عمومی شمارۀ ۲۸:</w:t>
      </w:r>
      <w:r w:rsidRPr="008A6D9B">
        <w:rPr>
          <w:rFonts w:ascii="IRANSharp" w:hAnsi="IRANSharp" w:cs="IRANSharp"/>
          <w:b/>
          <w:bCs/>
          <w:sz w:val="32"/>
          <w:szCs w:val="32"/>
          <w:rtl/>
        </w:rPr>
        <w:br/>
        <w:t xml:space="preserve"> مادۀ ۳؛ تساوی حقوق مردان و زنان</w:t>
      </w:r>
    </w:p>
    <w:p w14:paraId="59BD0FCF" w14:textId="77777777" w:rsidR="000E1C7A" w:rsidRPr="008A6D9B" w:rsidRDefault="000E1C7A" w:rsidP="008A6D9B">
      <w:pPr>
        <w:pStyle w:val="NoSpacing"/>
        <w:bidi/>
        <w:jc w:val="center"/>
        <w:rPr>
          <w:rFonts w:ascii="IRANSharp" w:hAnsi="IRANSharp" w:cs="IRANSharp"/>
          <w:b/>
          <w:bCs/>
          <w:sz w:val="28"/>
          <w:szCs w:val="28"/>
          <w:rtl/>
        </w:rPr>
      </w:pPr>
      <w:r w:rsidRPr="008A6D9B">
        <w:rPr>
          <w:rFonts w:ascii="IRANSharp" w:hAnsi="IRANSharp" w:cs="IRANSharp"/>
          <w:b/>
          <w:bCs/>
          <w:sz w:val="28"/>
          <w:szCs w:val="28"/>
          <w:rtl/>
        </w:rPr>
        <w:t>جلسۀ شصت‌وهشتم (۲۰۰۰)</w:t>
      </w:r>
    </w:p>
    <w:p w14:paraId="45145B41" w14:textId="77777777" w:rsidR="000E1C7A" w:rsidRPr="008A6D9B" w:rsidRDefault="000E1C7A" w:rsidP="008A6D9B">
      <w:pPr>
        <w:pStyle w:val="NoSpacing"/>
        <w:bidi/>
        <w:jc w:val="both"/>
        <w:rPr>
          <w:rFonts w:ascii="IRANSharp" w:hAnsi="IRANSharp" w:cs="IRANSharp"/>
          <w:sz w:val="24"/>
          <w:szCs w:val="24"/>
          <w:rtl/>
        </w:rPr>
      </w:pPr>
      <w:bookmarkStart w:id="0" w:name="_GoBack"/>
      <w:bookmarkEnd w:id="0"/>
    </w:p>
    <w:p w14:paraId="38FDAB66" w14:textId="77777777" w:rsidR="000E1C7A" w:rsidRPr="008A6D9B" w:rsidRDefault="000E1C7A" w:rsidP="008A6D9B">
      <w:pPr>
        <w:pStyle w:val="NoSpacing"/>
        <w:bidi/>
        <w:jc w:val="both"/>
        <w:rPr>
          <w:rFonts w:ascii="IRANSharp" w:hAnsi="IRANSharp" w:cs="IRANSharp"/>
          <w:sz w:val="24"/>
          <w:szCs w:val="24"/>
          <w:rtl/>
        </w:rPr>
      </w:pPr>
    </w:p>
    <w:p w14:paraId="76A53946" w14:textId="77777777" w:rsidR="000E1C7A" w:rsidRPr="008A6D9B" w:rsidRDefault="000E1C7A" w:rsidP="008A6D9B">
      <w:pPr>
        <w:pStyle w:val="NoSpacing"/>
        <w:bidi/>
        <w:jc w:val="both"/>
        <w:rPr>
          <w:rFonts w:ascii="IRANSharp" w:hAnsi="IRANSharp" w:cs="IRANSharp"/>
          <w:sz w:val="24"/>
          <w:szCs w:val="24"/>
          <w:rtl/>
        </w:rPr>
      </w:pPr>
    </w:p>
    <w:p w14:paraId="3B932EBC" w14:textId="77777777" w:rsidR="000E1C7A" w:rsidRPr="008A6D9B" w:rsidRDefault="000E1C7A" w:rsidP="008A6D9B">
      <w:pPr>
        <w:pStyle w:val="NoSpacing"/>
        <w:bidi/>
        <w:jc w:val="both"/>
        <w:rPr>
          <w:rFonts w:ascii="IRANSharp" w:hAnsi="IRANSharp" w:cs="IRANSharp"/>
          <w:sz w:val="24"/>
          <w:szCs w:val="24"/>
        </w:rPr>
      </w:pPr>
    </w:p>
    <w:p w14:paraId="1874C953" w14:textId="77777777" w:rsidR="000E1C7A" w:rsidRPr="008A6D9B" w:rsidRDefault="000E1C7A" w:rsidP="008A6D9B">
      <w:pPr>
        <w:pStyle w:val="NoSpacing"/>
        <w:bidi/>
        <w:jc w:val="both"/>
        <w:rPr>
          <w:rFonts w:ascii="IRANSharp" w:hAnsi="IRANSharp" w:cs="IRANSharp"/>
          <w:sz w:val="24"/>
          <w:szCs w:val="24"/>
        </w:rPr>
      </w:pPr>
      <w:r w:rsidRPr="008A6D9B">
        <w:rPr>
          <w:rFonts w:ascii="IRANSharp" w:hAnsi="IRANSharp" w:cs="IRANSharp"/>
          <w:sz w:val="24"/>
          <w:szCs w:val="24"/>
          <w:rtl/>
        </w:rPr>
        <w:t>۱. این کمیته بر آن است تا اظهارنظر عمومی خود را دربارۀ مادۀ ۳ این میثاق تجدید کند و با</w:t>
      </w:r>
      <w:r w:rsidR="00FD2D68" w:rsidRPr="008A6D9B">
        <w:rPr>
          <w:rFonts w:ascii="IRANSharp" w:hAnsi="IRANSharp" w:cs="IRANSharp"/>
          <w:sz w:val="24"/>
          <w:szCs w:val="24"/>
          <w:rtl/>
        </w:rPr>
        <w:t xml:space="preserve"> </w:t>
      </w:r>
      <w:r w:rsidRPr="008A6D9B">
        <w:rPr>
          <w:rFonts w:ascii="IRANSharp" w:hAnsi="IRANSharp" w:cs="IRANSharp"/>
          <w:sz w:val="24"/>
          <w:szCs w:val="24"/>
          <w:rtl/>
        </w:rPr>
        <w:t>توجه</w:t>
      </w:r>
      <w:r w:rsidR="00FD2D68" w:rsidRPr="008A6D9B">
        <w:rPr>
          <w:rFonts w:ascii="IRANSharp" w:hAnsi="IRANSharp" w:cs="IRANSharp"/>
          <w:sz w:val="24"/>
          <w:szCs w:val="24"/>
          <w:rtl/>
        </w:rPr>
        <w:t xml:space="preserve"> </w:t>
      </w:r>
      <w:r w:rsidRPr="008A6D9B">
        <w:rPr>
          <w:rFonts w:ascii="IRANSharp" w:hAnsi="IRANSharp" w:cs="IRANSharp"/>
          <w:sz w:val="24"/>
          <w:szCs w:val="24"/>
          <w:rtl/>
        </w:rPr>
        <w:t>‌به تجاربی که از فعالیت</w:t>
      </w:r>
      <w:r w:rsidRPr="008A6D9B">
        <w:rPr>
          <w:rFonts w:ascii="Arial" w:hAnsi="Arial" w:cs="Arial" w:hint="cs"/>
          <w:sz w:val="24"/>
          <w:szCs w:val="24"/>
          <w:rtl/>
        </w:rPr>
        <w:t>‏</w:t>
      </w:r>
      <w:r w:rsidRPr="008A6D9B">
        <w:rPr>
          <w:rFonts w:ascii="IRANSharp" w:hAnsi="IRANSharp" w:cs="IRANSharp"/>
          <w:sz w:val="24"/>
          <w:szCs w:val="24"/>
          <w:rtl/>
        </w:rPr>
        <w:t xml:space="preserve">های </w:t>
      </w:r>
      <w:r w:rsidRPr="008A6D9B">
        <w:rPr>
          <w:rFonts w:ascii="Arial" w:hAnsi="Arial" w:cs="Arial" w:hint="cs"/>
          <w:sz w:val="24"/>
          <w:szCs w:val="24"/>
          <w:rtl/>
        </w:rPr>
        <w:t>‏</w:t>
      </w:r>
      <w:r w:rsidRPr="008A6D9B">
        <w:rPr>
          <w:rFonts w:ascii="IRANSharp" w:hAnsi="IRANSharp" w:cs="IRANSharp"/>
          <w:sz w:val="24"/>
          <w:szCs w:val="24"/>
          <w:rtl/>
        </w:rPr>
        <w:t>انجام‌شده در طی ۲۰ سال گذشته اندوخته است، اظهارنظر عمومی شمارۀ ۴ (نشست سیزدهم، سال ۱۹۸۱) را جایگزین کند. هدف از این بازبینی، توجه به اهمیت تأثیری است که این ماده روی برخورداری زنان از حقوق انسانیِ حمایت‌شده در میثاق دارد.</w:t>
      </w:r>
    </w:p>
    <w:p w14:paraId="535C45A0"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۲. مقصود از مادۀ ۳ آن است که تمام انسان</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باید از حقوقی که در این میثاق در نظر گرفته شده است، به تساوی و به طور کامل برخوردار باشند. هرگاه شخصی از برخورداری کامل از هریک از حقوق محروم شود، این ماده نمی‌تواند به طور کامل، تأثیرگذار باشد. درنتیجه، کشورها باید اطمینان یابند که مردان و زنان به طور مساوی از تمام حقوق مطرح‌شده در این میثاق بهره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مند</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 هستند.</w:t>
      </w:r>
    </w:p>
    <w:p w14:paraId="15E7E81D"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۳. تعهد برای تضمین برخورداری همۀ افراد از حقوقِ به رسمیت شناخته‌شده در این میثاق که در ماده‌های ۲ و ۳ وضع شده، مستلزم آن است که کشورهای عضو این پیمان برای </w:t>
      </w:r>
      <w:r w:rsidR="00FD2D68" w:rsidRPr="008A6D9B">
        <w:rPr>
          <w:rFonts w:ascii="IRANSharp" w:eastAsia="Times New Roman" w:hAnsi="IRANSharp" w:cs="IRANSharp"/>
          <w:color w:val="000000"/>
          <w:sz w:val="24"/>
          <w:szCs w:val="24"/>
          <w:rtl/>
        </w:rPr>
        <w:t>قادر ساختن</w:t>
      </w:r>
      <w:r w:rsidRPr="008A6D9B">
        <w:rPr>
          <w:rFonts w:ascii="IRANSharp" w:eastAsia="Times New Roman" w:hAnsi="IRANSharp" w:cs="IRANSharp"/>
          <w:color w:val="000000"/>
          <w:sz w:val="24"/>
          <w:szCs w:val="24"/>
          <w:rtl/>
        </w:rPr>
        <w:t xml:space="preserve"> یکایک افراد به برخورداری از حقوق ذکرشده، همۀ مراحل لازم را طی کنند. این مراحل شامل رفع موانع موجود در راه بهره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مند</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ی از هریک از این حقوق، آموزش حقوق بشر به عموم مردم و مسئولان دولتی و تنظیم و اصلاح قوانین داخلی کشور به منظور </w:t>
      </w:r>
      <w:r w:rsidR="00FD2D68" w:rsidRPr="008A6D9B">
        <w:rPr>
          <w:rFonts w:ascii="IRANSharp" w:eastAsia="Times New Roman" w:hAnsi="IRANSharp" w:cs="IRANSharp"/>
          <w:color w:val="000000"/>
          <w:sz w:val="24"/>
          <w:szCs w:val="24"/>
          <w:rtl/>
        </w:rPr>
        <w:t>عملی ساختن</w:t>
      </w:r>
      <w:r w:rsidRPr="008A6D9B">
        <w:rPr>
          <w:rFonts w:ascii="IRANSharp" w:eastAsia="Times New Roman" w:hAnsi="IRANSharp" w:cs="IRANSharp"/>
          <w:color w:val="000000"/>
          <w:sz w:val="24"/>
          <w:szCs w:val="24"/>
          <w:rtl/>
        </w:rPr>
        <w:t xml:space="preserve"> تعهدات مندرج در میثاق است. کشور عضو میثاق نه‌تنها باید اقداماتی در جهت حفاظت [از حقوق مزبور] انجام دهد، بلکه باید در تمامی زمینه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اقدامات مثبتی به کار بندد؛ </w:t>
      </w:r>
      <w:r w:rsidR="00FD2D68" w:rsidRPr="008A6D9B">
        <w:rPr>
          <w:rFonts w:ascii="IRANSharp" w:eastAsia="Times New Roman" w:hAnsi="IRANSharp" w:cs="IRANSharp"/>
          <w:color w:val="000000"/>
          <w:sz w:val="24"/>
          <w:szCs w:val="24"/>
          <w:rtl/>
        </w:rPr>
        <w:t>به‌طوری‌که</w:t>
      </w:r>
      <w:r w:rsidRPr="008A6D9B">
        <w:rPr>
          <w:rFonts w:ascii="IRANSharp" w:eastAsia="Times New Roman" w:hAnsi="IRANSharp" w:cs="IRANSharp"/>
          <w:color w:val="000000"/>
          <w:sz w:val="24"/>
          <w:szCs w:val="24"/>
          <w:rtl/>
        </w:rPr>
        <w:t xml:space="preserve"> زنان در عمل به اختیارات مساوی [با مردان] دست یابند. کشورهای عضو همچنین، باید اطلاعاتی دربارۀ نقش واقعی زنان در جامعه ارائه دهند؛ به‌طوری‌که کمیته اطمینان یابد که علاوه بر وضع قوانین لازم، چه اقدامات دیگری انجام شده است یا باید انجام شود تا تعهدات مزبور عملی گردند؛ چه پیشرفت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حاصل شده است؛ چه مشکلاتی وجود دارند و چه تلاش</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برای غلبه بر این مشکلات صورت گرفته است.</w:t>
      </w:r>
    </w:p>
    <w:p w14:paraId="7CC063F8"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۴. کشورهای عضو مسئول تضمین برخورداری از حقوق به طور مساوی و بدون هیچ‌گونه تبعیضی هستند. ماده‌های ۲ و ۳ کشورهای عضو را موظف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کند تمام اقدامات لازم ازجمله منع تبعیض جنسی را </w:t>
      </w:r>
      <w:r w:rsidR="00FD2D68" w:rsidRPr="008A6D9B">
        <w:rPr>
          <w:rFonts w:ascii="IRANSharp" w:eastAsia="Times New Roman" w:hAnsi="IRANSharp" w:cs="IRANSharp"/>
          <w:color w:val="000000"/>
          <w:sz w:val="24"/>
          <w:szCs w:val="24"/>
          <w:rtl/>
        </w:rPr>
        <w:t>به‌کارگیرند</w:t>
      </w:r>
      <w:r w:rsidRPr="008A6D9B">
        <w:rPr>
          <w:rFonts w:ascii="IRANSharp" w:eastAsia="Times New Roman" w:hAnsi="IRANSharp" w:cs="IRANSharp"/>
          <w:color w:val="000000"/>
          <w:sz w:val="24"/>
          <w:szCs w:val="24"/>
          <w:rtl/>
        </w:rPr>
        <w:t xml:space="preserve"> تا هم در بخش دولتی و هم در بخش خصوصی به همۀ اَعمالِ تبعیض‌آمیزی که برخورداری مساوی از حقوق را مختل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کند، پایان دهند.</w:t>
      </w:r>
    </w:p>
    <w:p w14:paraId="7BC80D36"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lastRenderedPageBreak/>
        <w:t>۵. عدم تساوی در برخورداری زنان از حقوق خود در سراسر جهان، ریشۀ عمیقی در سنت، تاریخ، فرهنگ و نگرش</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مذهبی دارد. وقوع فراوان انتخاب جنسیت فرزند پیش از زایمان و نیز </w:t>
      </w:r>
      <w:r w:rsidR="00FD2D68" w:rsidRPr="008A6D9B">
        <w:rPr>
          <w:rFonts w:ascii="IRANSharp" w:eastAsia="Times New Roman" w:hAnsi="IRANSharp" w:cs="IRANSharp"/>
          <w:color w:val="000000"/>
          <w:sz w:val="24"/>
          <w:szCs w:val="24"/>
          <w:rtl/>
        </w:rPr>
        <w:t>سقط کردن</w:t>
      </w:r>
      <w:r w:rsidRPr="008A6D9B">
        <w:rPr>
          <w:rFonts w:ascii="IRANSharp" w:eastAsia="Times New Roman" w:hAnsi="IRANSharp" w:cs="IRANSharp"/>
          <w:color w:val="000000"/>
          <w:sz w:val="24"/>
          <w:szCs w:val="24"/>
          <w:rtl/>
        </w:rPr>
        <w:t xml:space="preserve"> جنین</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مؤنث، نشان‌دهندۀ مرتبۀ پایین زنان در برخی از کشورهاست. کشورهای عضو باید اطمینان یابند که نگرش</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سنتی، تاریخی، مذهبی یا فرهنگی برای توجیه نقض حقوق زنان برای تساوی در برابر قانون و نیز عدم بهره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مند</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ی کامل ایشان از همۀ حقوق مندرج در میثاق به کار نرود. کشورهای عضو باید دربارۀ آن دسته از سنت‌ها، تاریخ، روال</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فرهنگی و دیدگاه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مذهبی که پیروی از مادۀ ۳ را به مخاطره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اندازد یا ممکن است به مخاطره بیندازد، اطلاعات کافی جمع‌آوری کرده و مشخص کنند که برای </w:t>
      </w:r>
      <w:r w:rsidR="00FD2D68" w:rsidRPr="008A6D9B">
        <w:rPr>
          <w:rFonts w:ascii="IRANSharp" w:eastAsia="Times New Roman" w:hAnsi="IRANSharp" w:cs="IRANSharp"/>
          <w:color w:val="000000"/>
          <w:sz w:val="24"/>
          <w:szCs w:val="24"/>
          <w:rtl/>
        </w:rPr>
        <w:t>فائق آمدن</w:t>
      </w:r>
      <w:r w:rsidRPr="008A6D9B">
        <w:rPr>
          <w:rFonts w:ascii="IRANSharp" w:eastAsia="Times New Roman" w:hAnsi="IRANSharp" w:cs="IRANSharp"/>
          <w:color w:val="000000"/>
          <w:sz w:val="24"/>
          <w:szCs w:val="24"/>
          <w:rtl/>
        </w:rPr>
        <w:t xml:space="preserve"> بر چنین عواملی، چه اقداماتی انجام داده یا قصد دارند انجام دهند.</w:t>
      </w:r>
    </w:p>
    <w:p w14:paraId="44AFD504"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۶. کشورهای عضو برای آنکه بتوانند تعهدات مندرج در مادۀ ۳ را تحقق بخشند، باید به عواملی که مانع برخورداری مساوی زنان و مردان از هریک از حقوق تعیین‌شده در میثاق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توجه کنند. برای آنکه کمیته بتواند دربارۀ اجرای حقوق ذکرشده در میثاق، تصویر کاملی از وضعیت زنان در هریک از کشورهای عضو داشته باشد، این تفسیر عمومی به بعضی از عوامل مؤثر بر برخورداری مساوی زنان از حقوق میثاق توجه می‌کند و نوع اطلاعات لازم دربارۀ انواع گوناگون این حقوق را توضیح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دهد.</w:t>
      </w:r>
    </w:p>
    <w:p w14:paraId="288BD2CC"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۷. برخورداری مساوی زنان از حقوق بشر باید در موقعیت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اضطراری هم محافظت شود (مادۀ ۴). آن دسته از کشورهای عضو که در مواقع اضطراری عمومی، به شرحی که در مادۀ ۴ ذکر شده است، اقداماتی انجام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دهند که سبب انحراف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از تعهداتشان نسبت به میثاق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گردد، باید دربارۀ تأثیر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اقدامات روی موقعیت زنان اطلاعاتی را در اختیار کمیته بگذارند و نشان دهند که اقدامات مزبور تبعیض‌آمیز نیستند.</w:t>
      </w:r>
    </w:p>
    <w:p w14:paraId="17229582"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۸. زنان به ویژه در شرایط منازعات مسلحانۀ داخلی یا بین‌المللی آسیب‌پذیر هستند. کشورهای عضو باید کمیته را از همۀ اقداماتی که در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موقعیت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برای محافظت از زنان در برابر تجاوز جنسی، </w:t>
      </w:r>
      <w:r w:rsidR="00FD2D68" w:rsidRPr="008A6D9B">
        <w:rPr>
          <w:rFonts w:ascii="IRANSharp" w:eastAsia="Times New Roman" w:hAnsi="IRANSharp" w:cs="IRANSharp"/>
          <w:color w:val="000000"/>
          <w:sz w:val="24"/>
          <w:szCs w:val="24"/>
          <w:rtl/>
        </w:rPr>
        <w:t>ربوده شدن</w:t>
      </w:r>
      <w:r w:rsidRPr="008A6D9B">
        <w:rPr>
          <w:rFonts w:ascii="IRANSharp" w:eastAsia="Times New Roman" w:hAnsi="IRANSharp" w:cs="IRANSharp"/>
          <w:color w:val="000000"/>
          <w:sz w:val="24"/>
          <w:szCs w:val="24"/>
          <w:rtl/>
        </w:rPr>
        <w:t xml:space="preserve"> و دیگر اَشکال خشونت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جنسیتی انجام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دهند، مطلع سازند.</w:t>
      </w:r>
    </w:p>
    <w:p w14:paraId="24CE54F3"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۹. کشورها </w:t>
      </w:r>
      <w:r w:rsidR="00FD2D68" w:rsidRPr="008A6D9B">
        <w:rPr>
          <w:rFonts w:ascii="IRANSharp" w:eastAsia="Times New Roman" w:hAnsi="IRANSharp" w:cs="IRANSharp"/>
          <w:color w:val="000000"/>
          <w:sz w:val="24"/>
          <w:szCs w:val="24"/>
          <w:rtl/>
        </w:rPr>
        <w:t>هنگامی‌که</w:t>
      </w:r>
      <w:r w:rsidRPr="008A6D9B">
        <w:rPr>
          <w:rFonts w:ascii="IRANSharp" w:eastAsia="Times New Roman" w:hAnsi="IRANSharp" w:cs="IRANSharp"/>
          <w:color w:val="000000"/>
          <w:sz w:val="24"/>
          <w:szCs w:val="24"/>
          <w:rtl/>
        </w:rPr>
        <w:t xml:space="preserve"> عضو این میثاق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شوند، متعهد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گردند که بر طبق مادۀ ۳، حقوق مساوی مردان و زنان را در </w:t>
      </w:r>
      <w:r w:rsidR="00FD2D68" w:rsidRPr="008A6D9B">
        <w:rPr>
          <w:rFonts w:ascii="IRANSharp" w:eastAsia="Times New Roman" w:hAnsi="IRANSharp" w:cs="IRANSharp"/>
          <w:color w:val="000000"/>
          <w:sz w:val="24"/>
          <w:szCs w:val="24"/>
          <w:rtl/>
        </w:rPr>
        <w:t>بهره‌مند شدن</w:t>
      </w:r>
      <w:r w:rsidRPr="008A6D9B">
        <w:rPr>
          <w:rFonts w:ascii="IRANSharp" w:eastAsia="Times New Roman" w:hAnsi="IRANSharp" w:cs="IRANSharp"/>
          <w:color w:val="000000"/>
          <w:sz w:val="24"/>
          <w:szCs w:val="24"/>
          <w:rtl/>
        </w:rPr>
        <w:t xml:space="preserve"> از همۀ حقوق مدنی و سیاسی مندرج در میثاق تضمین کنند و نیز بر طبق مادۀ ۵، هیچ‌یک از مطالب ذکرشده در این میثاق را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توان طوری تعبیر و تفسیر کرد که برای هیچ کشور، گروه یا فردی، حقوقی استنباط کند که بر اساس آن بتوانند در جهت تضییع هریک از حقوق مطرح‌شده در مادۀ ۳ یا دربارۀ قیود </w:t>
      </w:r>
      <w:r w:rsidR="00FD2D68" w:rsidRPr="008A6D9B">
        <w:rPr>
          <w:rFonts w:ascii="IRANSharp" w:eastAsia="Times New Roman" w:hAnsi="IRANSharp" w:cs="IRANSharp"/>
          <w:color w:val="000000"/>
          <w:sz w:val="24"/>
          <w:szCs w:val="24"/>
          <w:rtl/>
        </w:rPr>
        <w:t>غیر مذکور</w:t>
      </w:r>
      <w:r w:rsidRPr="008A6D9B">
        <w:rPr>
          <w:rFonts w:ascii="IRANSharp" w:eastAsia="Times New Roman" w:hAnsi="IRANSharp" w:cs="IRANSharp"/>
          <w:color w:val="000000"/>
          <w:sz w:val="24"/>
          <w:szCs w:val="24"/>
          <w:rtl/>
        </w:rPr>
        <w:t xml:space="preserve"> در این میثاق فعالیت یا حرکتی کنند. </w:t>
      </w:r>
      <w:r w:rsidR="00FD2D68" w:rsidRPr="008A6D9B">
        <w:rPr>
          <w:rFonts w:ascii="IRANSharp" w:eastAsia="Times New Roman" w:hAnsi="IRANSharp" w:cs="IRANSharp"/>
          <w:color w:val="000000"/>
          <w:sz w:val="24"/>
          <w:szCs w:val="24"/>
          <w:rtl/>
        </w:rPr>
        <w:t>در ضمن</w:t>
      </w:r>
      <w:r w:rsidRPr="008A6D9B">
        <w:rPr>
          <w:rFonts w:ascii="IRANSharp" w:eastAsia="Times New Roman" w:hAnsi="IRANSharp" w:cs="IRANSharp"/>
          <w:color w:val="000000"/>
          <w:sz w:val="24"/>
          <w:szCs w:val="24"/>
          <w:rtl/>
        </w:rPr>
        <w:t>، دربارۀ بهره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مند</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ی برابر زنان از تمام حقوق بنیادین انسانی که بر طبق قانون، </w:t>
      </w:r>
      <w:r w:rsidR="00FD2D68" w:rsidRPr="008A6D9B">
        <w:rPr>
          <w:rFonts w:ascii="IRANSharp" w:eastAsia="Times New Roman" w:hAnsi="IRANSharp" w:cs="IRANSharp"/>
          <w:color w:val="000000"/>
          <w:sz w:val="24"/>
          <w:szCs w:val="24"/>
          <w:rtl/>
        </w:rPr>
        <w:t>پیمان‌نامه‌ها</w:t>
      </w:r>
      <w:r w:rsidRPr="008A6D9B">
        <w:rPr>
          <w:rFonts w:ascii="IRANSharp" w:eastAsia="Times New Roman" w:hAnsi="IRANSharp" w:cs="IRANSharp"/>
          <w:color w:val="000000"/>
          <w:sz w:val="24"/>
          <w:szCs w:val="24"/>
          <w:rtl/>
        </w:rPr>
        <w:t xml:space="preserve">، مقررات و </w:t>
      </w:r>
      <w:r w:rsidR="00FD2D68" w:rsidRPr="008A6D9B">
        <w:rPr>
          <w:rFonts w:ascii="IRANSharp" w:eastAsia="Times New Roman" w:hAnsi="IRANSharp" w:cs="IRANSharp"/>
          <w:color w:val="000000"/>
          <w:sz w:val="24"/>
          <w:szCs w:val="24"/>
          <w:rtl/>
        </w:rPr>
        <w:t>آداب‌ورسوم</w:t>
      </w:r>
      <w:r w:rsidRPr="008A6D9B">
        <w:rPr>
          <w:rFonts w:ascii="IRANSharp" w:eastAsia="Times New Roman" w:hAnsi="IRANSharp" w:cs="IRANSharp"/>
          <w:color w:val="000000"/>
          <w:sz w:val="24"/>
          <w:szCs w:val="24"/>
          <w:rtl/>
        </w:rPr>
        <w:t xml:space="preserve"> موجود به رسمیت شناخته شده‌اند، به این بهانه که میثاق حاضر چنین حقوقی را به رسمیت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شناسد یا اینکه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را تا حد کمتری به رسمیت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شناسد، نباید هیچ‌گونه محدودیتی قائل شده یا انحرافی از آن حاصل شود.</w:t>
      </w:r>
    </w:p>
    <w:p w14:paraId="1A9DB503"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۱۰. کشورهای عضو هنگام تهیۀ گزارش دربارۀ حق حیات که توسط مادۀ ۶ محافظت می‌شود، باید میزان زادوولد و میزان مرگ‌ومیر مربوط به حاملگی و زایمان در میان زنان را قید کنند. در تهیۀ </w:t>
      </w:r>
      <w:r w:rsidRPr="008A6D9B">
        <w:rPr>
          <w:rFonts w:ascii="IRANSharp" w:eastAsia="Times New Roman" w:hAnsi="IRANSharp" w:cs="IRANSharp"/>
          <w:color w:val="000000"/>
          <w:sz w:val="24"/>
          <w:szCs w:val="24"/>
          <w:rtl/>
        </w:rPr>
        <w:lastRenderedPageBreak/>
        <w:t xml:space="preserve">میزان مرگ‌ومیر نوزادان، باید اطلاعات مربوط به جنسیت ایشان ارائه شود. کشورهای عضو باید دربارۀ هر اقدامی که دولتشان برای کمک به جلوگیری از بارداری ناخواسته در میان زنان انجام می‌دهد، اطلاعاتی را فراهم کنند و نیز اطمینان یابند که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زنان </w:t>
      </w:r>
      <w:r w:rsidR="00FD2D68" w:rsidRPr="008A6D9B">
        <w:rPr>
          <w:rFonts w:ascii="IRANSharp" w:eastAsia="Times New Roman" w:hAnsi="IRANSharp" w:cs="IRANSharp"/>
          <w:color w:val="000000"/>
          <w:sz w:val="24"/>
          <w:szCs w:val="24"/>
          <w:rtl/>
        </w:rPr>
        <w:t>به‌اجبار</w:t>
      </w:r>
      <w:r w:rsidRPr="008A6D9B">
        <w:rPr>
          <w:rFonts w:ascii="IRANSharp" w:eastAsia="Times New Roman" w:hAnsi="IRANSharp" w:cs="IRANSharp"/>
          <w:color w:val="000000"/>
          <w:sz w:val="24"/>
          <w:szCs w:val="24"/>
          <w:rtl/>
        </w:rPr>
        <w:t xml:space="preserve"> در معرض </w:t>
      </w:r>
      <w:r w:rsidR="00FD2D68" w:rsidRPr="008A6D9B">
        <w:rPr>
          <w:rFonts w:ascii="IRANSharp" w:eastAsia="Times New Roman" w:hAnsi="IRANSharp" w:cs="IRANSharp"/>
          <w:color w:val="000000"/>
          <w:sz w:val="24"/>
          <w:szCs w:val="24"/>
          <w:rtl/>
        </w:rPr>
        <w:t>سقط‌جنین</w:t>
      </w:r>
      <w:r w:rsidRPr="008A6D9B">
        <w:rPr>
          <w:rFonts w:ascii="IRANSharp" w:eastAsia="Times New Roman" w:hAnsi="IRANSharp" w:cs="IRANSharp"/>
          <w:color w:val="000000"/>
          <w:sz w:val="24"/>
          <w:szCs w:val="24"/>
          <w:rtl/>
        </w:rPr>
        <w:t xml:space="preserve"> مخفیانه و مهلک قرار نگیرند. کشورهای عضو همچنین، باید دربارۀ اقداماتی که به منظور محافظت زنان در مقابل اَعمالی که نقض حق حیات محسوب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مانند کشتن نوزادان دختر، سوزاندن زنان بیوه و کشتن زنان به دلیل کمبود جهیزیه انجام می‌دهند، گزارش دهند. این کمیته به خصوص مایل است دربارۀ تأثیر فقر و محرومیت بر زنان، که ممکن است زندگی‌شان را تهدید کند، اطلاعاتی داشته باشد.</w:t>
      </w:r>
    </w:p>
    <w:p w14:paraId="2F35F98D"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۱۱. به منظور ارزیابی میزان پیروی [کشورها] از مادۀ ۷ میثاق و نیز مادۀ ۲۴ که محافظت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به خصوصی را برای کودکان تعیین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کند، این کمیته دربارۀ قوانین و روال</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مرسوم در کشور در ارتباط با خشونت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خانگی و انواع دیگر خشونت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علیه زنان ازجمله تجاوز جنسی، به دریافت اطلاعات نیاز دارد. کمیته همچنین مایل است بداند آیا کشور عضو به زنی که درنتیجۀ تجاوز جنسی باردار شده است، این امکان را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دهد که بتواند به طور امن به این حاملگی خاتمه دهد. کشورهای عضو همچنین، باید دربارۀ اقداماتی که برای پیشگیری از </w:t>
      </w:r>
      <w:r w:rsidR="00FD2D68" w:rsidRPr="008A6D9B">
        <w:rPr>
          <w:rFonts w:ascii="IRANSharp" w:eastAsia="Times New Roman" w:hAnsi="IRANSharp" w:cs="IRANSharp"/>
          <w:color w:val="000000"/>
          <w:sz w:val="24"/>
          <w:szCs w:val="24"/>
          <w:rtl/>
        </w:rPr>
        <w:t>سقط‌جنین</w:t>
      </w:r>
      <w:r w:rsidRPr="008A6D9B">
        <w:rPr>
          <w:rFonts w:ascii="IRANSharp" w:eastAsia="Times New Roman" w:hAnsi="IRANSharp" w:cs="IRANSharp"/>
          <w:color w:val="000000"/>
          <w:sz w:val="24"/>
          <w:szCs w:val="24"/>
          <w:rtl/>
        </w:rPr>
        <w:t xml:space="preserve"> اجباری یا عقیم‌سازی اجباری انجام می‌دهند، اطلاعاتی را در اختیار این کمیته قرار دهند. در آن دسته از کشورهای عضوی که </w:t>
      </w:r>
      <w:r w:rsidR="00FD2D68" w:rsidRPr="008A6D9B">
        <w:rPr>
          <w:rFonts w:ascii="IRANSharp" w:eastAsia="Times New Roman" w:hAnsi="IRANSharp" w:cs="IRANSharp"/>
          <w:color w:val="000000"/>
          <w:sz w:val="24"/>
          <w:szCs w:val="24"/>
          <w:rtl/>
        </w:rPr>
        <w:t>مثله کردن</w:t>
      </w:r>
      <w:r w:rsidRPr="008A6D9B">
        <w:rPr>
          <w:rFonts w:ascii="IRANSharp" w:eastAsia="Times New Roman" w:hAnsi="IRANSharp" w:cs="IRANSharp"/>
          <w:color w:val="000000"/>
          <w:sz w:val="24"/>
          <w:szCs w:val="24"/>
          <w:rtl/>
        </w:rPr>
        <w:t xml:space="preserve"> جنسی مرسوم است، باید دربارۀ میزان گسترش آن و نیز اقدامات انجام‌شده برای از</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بین</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‌بردن این روال اطلاعاتی فراهم کنند. اطلاعاتی را که کشورهای عضو دربارۀ تمام این موضوعات تهیه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کنند، باید شامل اقدامات محافظتی شود؛ ازجمله پرداخت غرامت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قانونی به زنانی که حقشان مطابق مادۀ ۷ نقض شده است.</w:t>
      </w:r>
    </w:p>
    <w:p w14:paraId="44B3584F"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۱۲. کشورهای عضو با</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توجه</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 xml:space="preserve">‌به تعهداتی که در قبال مادۀ ۸ دارند، باید این کمیته را از اقداماتی که برای </w:t>
      </w:r>
      <w:r w:rsidR="00FD2D68" w:rsidRPr="008A6D9B">
        <w:rPr>
          <w:rFonts w:ascii="IRANSharp" w:eastAsia="Times New Roman" w:hAnsi="IRANSharp" w:cs="IRANSharp"/>
          <w:color w:val="000000"/>
          <w:sz w:val="24"/>
          <w:szCs w:val="24"/>
          <w:rtl/>
        </w:rPr>
        <w:t>ریشه‌کن کردن</w:t>
      </w:r>
      <w:r w:rsidRPr="008A6D9B">
        <w:rPr>
          <w:rFonts w:ascii="IRANSharp" w:eastAsia="Times New Roman" w:hAnsi="IRANSharp" w:cs="IRANSharp"/>
          <w:color w:val="000000"/>
          <w:sz w:val="24"/>
          <w:szCs w:val="24"/>
          <w:rtl/>
        </w:rPr>
        <w:t xml:space="preserve"> قاچاق زنان و کودکان در داخل یا خارج از کشور و اجبار آنان به فحشا انجام داده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اند،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مطلع کنند.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همچنین، باید اطلاعاتی دربارۀ اقدامات انجام‌شده برای محافظت زنان و کودکان، ازجمله زنان و کودکان خارجی، از بردگی که یکی از وجوه مبدل آن، انجام خدمات شخصی خانگی یا انواع دیگر خدمات شخصی است، اطلاعاتی فراهم کنند. آن گروه از کشورهای عضوی که زنان و کودکان را برای کار می‌پذیرند و سپس آنان را از آنجا، به مکان دیگری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برند و نیز آن دسته از کشورهای عضوی که پذیرای این افراد هستند، باید دربارۀ اقدامات انجام‌شدۀ ملی یا بین</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المللی که به منظور پیشگیری از تضییع حقوق زنان و کودکان صورت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گیرد، اطلاعاتی ارائه کنند.</w:t>
      </w:r>
    </w:p>
    <w:p w14:paraId="2F4FB07B"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۱۳. کشورهای عضو باید دربارۀ هرگونه قوانین مخصوص طرز لباس</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‌پوشیدن بانوان در ملأعام اطلاعاتی ارائه دهند. این کمیته تأکید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کند که چنین قوانینی ممکن است تعدادی از حقوق تضمین‌شده در این میثاق را نقض کند؛ از قبیل: مادۀ ۲۶ دربارۀ عدم تبعیض؛ مادۀ ۷ درصورتی‌که به منظور اجرای چنین مقرراتی تنبیه بدنی اِعمال گردد؛ مادۀ ۹ </w:t>
      </w:r>
      <w:r w:rsidR="00FD2D68" w:rsidRPr="008A6D9B">
        <w:rPr>
          <w:rFonts w:ascii="IRANSharp" w:eastAsia="Times New Roman" w:hAnsi="IRANSharp" w:cs="IRANSharp"/>
          <w:color w:val="000000"/>
          <w:sz w:val="24"/>
          <w:szCs w:val="24"/>
          <w:rtl/>
        </w:rPr>
        <w:t>هنگامی‌که</w:t>
      </w:r>
      <w:r w:rsidRPr="008A6D9B">
        <w:rPr>
          <w:rFonts w:ascii="IRANSharp" w:eastAsia="Times New Roman" w:hAnsi="IRANSharp" w:cs="IRANSharp"/>
          <w:color w:val="000000"/>
          <w:sz w:val="24"/>
          <w:szCs w:val="24"/>
          <w:rtl/>
        </w:rPr>
        <w:t xml:space="preserve"> مجازات عدم پیروی از مقررات مزبور، دستگیری شخص باشد؛ مادۀ ۱۲ اگر آزادی سفر به چنین محدودیتی بستگی داشته باشد؛ مادۀ ۱۷ که برای همۀ </w:t>
      </w:r>
      <w:r w:rsidR="00FD2D68" w:rsidRPr="008A6D9B">
        <w:rPr>
          <w:rFonts w:ascii="IRANSharp" w:eastAsia="Times New Roman" w:hAnsi="IRANSharp" w:cs="IRANSharp"/>
          <w:color w:val="000000"/>
          <w:sz w:val="24"/>
          <w:szCs w:val="24"/>
          <w:rtl/>
        </w:rPr>
        <w:t>افراد</w:t>
      </w:r>
      <w:r w:rsidRPr="008A6D9B">
        <w:rPr>
          <w:rFonts w:ascii="IRANSharp" w:eastAsia="Times New Roman" w:hAnsi="IRANSharp" w:cs="IRANSharp"/>
          <w:color w:val="000000"/>
          <w:sz w:val="24"/>
          <w:szCs w:val="24"/>
          <w:rtl/>
        </w:rPr>
        <w:t xml:space="preserve"> حق حفظ حریم شخصی بدون هیچ‌گونه مداخلۀ </w:t>
      </w:r>
      <w:r w:rsidRPr="008A6D9B">
        <w:rPr>
          <w:rFonts w:ascii="IRANSharp" w:eastAsia="Times New Roman" w:hAnsi="IRANSharp" w:cs="IRANSharp"/>
          <w:color w:val="000000"/>
          <w:sz w:val="24"/>
          <w:szCs w:val="24"/>
          <w:rtl/>
        </w:rPr>
        <w:lastRenderedPageBreak/>
        <w:t>خودسرانه یا غیرقانونی را تضمین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کند؛ ماده‌های ۱۸ و ۱۹ در مواقعی که زنان باید طرز پوشش خاصی را رعایت کنند که با اعتقادات مذهبی آنان یا حق ایشان برای ابراز وجود خود تطابقی ندارد و نیز مادۀ ۲۷ </w:t>
      </w:r>
      <w:r w:rsidR="00FD2D68" w:rsidRPr="008A6D9B">
        <w:rPr>
          <w:rFonts w:ascii="IRANSharp" w:eastAsia="Times New Roman" w:hAnsi="IRANSharp" w:cs="IRANSharp"/>
          <w:color w:val="000000"/>
          <w:sz w:val="24"/>
          <w:szCs w:val="24"/>
          <w:rtl/>
        </w:rPr>
        <w:t>هنگامی‌که</w:t>
      </w:r>
      <w:r w:rsidRPr="008A6D9B">
        <w:rPr>
          <w:rFonts w:ascii="IRANSharp" w:eastAsia="Times New Roman" w:hAnsi="IRANSharp" w:cs="IRANSharp"/>
          <w:color w:val="000000"/>
          <w:sz w:val="24"/>
          <w:szCs w:val="24"/>
          <w:rtl/>
        </w:rPr>
        <w:t xml:space="preserve"> مقررات مربوط به طرز پوشش با فرهنگی که زنان معتقدند به آن تعلق دارند، مغایرت داشته باشد.</w:t>
      </w:r>
    </w:p>
    <w:p w14:paraId="1F323A19"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۱۴. در ارتباط با مادۀ ۹، کشورهای عضو باید دربارۀ هرگونه حقوق یا رسوماتی که ممکن است زنان را </w:t>
      </w:r>
      <w:r w:rsidR="00FD2D68" w:rsidRPr="008A6D9B">
        <w:rPr>
          <w:rFonts w:ascii="IRANSharp" w:eastAsia="Times New Roman" w:hAnsi="IRANSharp" w:cs="IRANSharp"/>
          <w:color w:val="000000"/>
          <w:sz w:val="24"/>
          <w:szCs w:val="24"/>
          <w:rtl/>
        </w:rPr>
        <w:t>به‌گونه‌ای</w:t>
      </w:r>
      <w:r w:rsidRPr="008A6D9B">
        <w:rPr>
          <w:rFonts w:ascii="IRANSharp" w:eastAsia="Times New Roman" w:hAnsi="IRANSharp" w:cs="IRANSharp"/>
          <w:color w:val="000000"/>
          <w:sz w:val="24"/>
          <w:szCs w:val="24"/>
          <w:rtl/>
        </w:rPr>
        <w:t xml:space="preserve">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خودسرانه یا نابرابر از آزادی خود محروم کند، از قبیل </w:t>
      </w:r>
      <w:r w:rsidR="00FD2D68" w:rsidRPr="008A6D9B">
        <w:rPr>
          <w:rFonts w:ascii="IRANSharp" w:eastAsia="Times New Roman" w:hAnsi="IRANSharp" w:cs="IRANSharp"/>
          <w:color w:val="000000"/>
          <w:sz w:val="24"/>
          <w:szCs w:val="24"/>
          <w:rtl/>
        </w:rPr>
        <w:t>محصور بودن</w:t>
      </w:r>
      <w:r w:rsidRPr="008A6D9B">
        <w:rPr>
          <w:rFonts w:ascii="IRANSharp" w:eastAsia="Times New Roman" w:hAnsi="IRANSharp" w:cs="IRANSharp"/>
          <w:color w:val="000000"/>
          <w:sz w:val="24"/>
          <w:szCs w:val="24"/>
          <w:rtl/>
        </w:rPr>
        <w:t xml:space="preserve"> در خانه، اطلاعاتی ارائه کنند.</w:t>
      </w:r>
      <w:r w:rsidRPr="008A6D9B">
        <w:rPr>
          <w:rFonts w:ascii="IRANSharp" w:eastAsia="Times New Roman" w:hAnsi="IRANSharp" w:cs="IRANSharp"/>
          <w:color w:val="000000"/>
          <w:sz w:val="24"/>
          <w:szCs w:val="24"/>
          <w:vertAlign w:val="superscript"/>
        </w:rPr>
        <w:footnoteReference w:id="1"/>
      </w:r>
      <w:r w:rsidRPr="008A6D9B">
        <w:rPr>
          <w:rFonts w:ascii="IRANSharp" w:eastAsia="Times New Roman" w:hAnsi="IRANSharp" w:cs="IRANSharp"/>
          <w:color w:val="000000"/>
          <w:sz w:val="24"/>
          <w:szCs w:val="24"/>
        </w:rPr>
        <w:t xml:space="preserve">  </w:t>
      </w:r>
    </w:p>
    <w:p w14:paraId="64EB9BA2"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۱۵. در ارتباط با ماده‌های ۷ و ۱۰، کشورهای عضو باید دربارۀ تضمین محافظت از حقوق افرادی که از آزادی خود محروم شده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اند، </w:t>
      </w:r>
      <w:r w:rsidRPr="008A6D9B">
        <w:rPr>
          <w:rFonts w:ascii="Arial" w:eastAsia="Times New Roman" w:hAnsi="Arial" w:cs="Arial" w:hint="cs"/>
          <w:color w:val="000000"/>
          <w:sz w:val="24"/>
          <w:szCs w:val="24"/>
          <w:rtl/>
        </w:rPr>
        <w:t>‏</w:t>
      </w:r>
      <w:r w:rsidR="00FD2D68" w:rsidRPr="008A6D9B">
        <w:rPr>
          <w:rFonts w:ascii="IRANSharp" w:eastAsia="Times New Roman" w:hAnsi="IRANSharp" w:cs="IRANSharp"/>
          <w:color w:val="000000"/>
          <w:sz w:val="24"/>
          <w:szCs w:val="24"/>
          <w:rtl/>
        </w:rPr>
        <w:t>به‌گونه‌ای</w:t>
      </w:r>
      <w:r w:rsidRPr="008A6D9B">
        <w:rPr>
          <w:rFonts w:ascii="IRANSharp" w:eastAsia="Times New Roman" w:hAnsi="IRANSharp" w:cs="IRANSharp"/>
          <w:color w:val="000000"/>
          <w:sz w:val="24"/>
          <w:szCs w:val="24"/>
          <w:rtl/>
        </w:rPr>
        <w:t xml:space="preserve">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که شرایط آن برای مردان و زنان مساوی باشد، همۀ اطلاعات مربوط را فراهم کنند. کشورهای عضو به ویژه باید دربارۀ اینکه آیا زنان و مردان در زندان</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از یکدیگر جداگانه نگهداری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شوند و نیز آیا فقط نگهبانان زن از زنان زندانی نگهبانی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کنند یا خیر، گزارش دهند. کشورهای عضو همچنین، باید دربارۀ پیروی از این قاعده که زنان متهم نوجوان باید از بزرگ‌سالان جدا </w:t>
      </w:r>
      <w:r w:rsidR="00FD2D68" w:rsidRPr="008A6D9B">
        <w:rPr>
          <w:rFonts w:ascii="IRANSharp" w:eastAsia="Times New Roman" w:hAnsi="IRANSharp" w:cs="IRANSharp"/>
          <w:color w:val="000000"/>
          <w:sz w:val="24"/>
          <w:szCs w:val="24"/>
          <w:rtl/>
        </w:rPr>
        <w:t>نگه‌داشته</w:t>
      </w:r>
      <w:r w:rsidRPr="008A6D9B">
        <w:rPr>
          <w:rFonts w:ascii="IRANSharp" w:eastAsia="Times New Roman" w:hAnsi="IRANSharp" w:cs="IRANSharp"/>
          <w:color w:val="000000"/>
          <w:sz w:val="24"/>
          <w:szCs w:val="24"/>
          <w:rtl/>
        </w:rPr>
        <w:t xml:space="preserve"> شوند و نیز دربارۀ هرگونه تفاوت در برخورد با مردان و زنانی که از آزادی خود محروم شده‌اند، مثلاً از قبیل </w:t>
      </w:r>
      <w:r w:rsidR="00FD2D68" w:rsidRPr="008A6D9B">
        <w:rPr>
          <w:rFonts w:ascii="IRANSharp" w:eastAsia="Times New Roman" w:hAnsi="IRANSharp" w:cs="IRANSharp"/>
          <w:color w:val="000000"/>
          <w:sz w:val="24"/>
          <w:szCs w:val="24"/>
          <w:rtl/>
        </w:rPr>
        <w:t>دسترسی داشتن</w:t>
      </w:r>
      <w:r w:rsidRPr="008A6D9B">
        <w:rPr>
          <w:rFonts w:ascii="IRANSharp" w:eastAsia="Times New Roman" w:hAnsi="IRANSharp" w:cs="IRANSharp"/>
          <w:color w:val="000000"/>
          <w:sz w:val="24"/>
          <w:szCs w:val="24"/>
          <w:rtl/>
        </w:rPr>
        <w:t xml:space="preserve"> به برنامه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توان‌بخشی و آموزشی و نیز ملاقات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زناشویی و خانوادگی گزارش دهند. باید با زنان بارداری که از آزادی خود محروم هستند، برخوردی انسانی داشت و در طول تمام دوران پیش و پس از زایمان و در دوره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که از کودکان تازه </w:t>
      </w:r>
      <w:r w:rsidR="00FD2D68" w:rsidRPr="008A6D9B">
        <w:rPr>
          <w:rFonts w:ascii="IRANSharp" w:eastAsia="Times New Roman" w:hAnsi="IRANSharp" w:cs="IRANSharp"/>
          <w:color w:val="000000"/>
          <w:sz w:val="24"/>
          <w:szCs w:val="24"/>
          <w:rtl/>
        </w:rPr>
        <w:t>تولد یافتۀ</w:t>
      </w:r>
      <w:r w:rsidRPr="008A6D9B">
        <w:rPr>
          <w:rFonts w:ascii="IRANSharp" w:eastAsia="Times New Roman" w:hAnsi="IRANSharp" w:cs="IRANSharp"/>
          <w:color w:val="000000"/>
          <w:sz w:val="24"/>
          <w:szCs w:val="24"/>
          <w:rtl/>
        </w:rPr>
        <w:t xml:space="preserve"> خود مراقبت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کنند، باید به شرف ذاتی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احترام گذاشت. بنابراین، کشورهای عضو باید دربارۀ امکاناتی که برای </w:t>
      </w:r>
      <w:r w:rsidR="00FD2D68" w:rsidRPr="008A6D9B">
        <w:rPr>
          <w:rFonts w:ascii="IRANSharp" w:eastAsia="Times New Roman" w:hAnsi="IRANSharp" w:cs="IRANSharp"/>
          <w:color w:val="000000"/>
          <w:sz w:val="24"/>
          <w:szCs w:val="24"/>
          <w:rtl/>
        </w:rPr>
        <w:t>اطمینان یافتن</w:t>
      </w:r>
      <w:r w:rsidRPr="008A6D9B">
        <w:rPr>
          <w:rFonts w:ascii="IRANSharp" w:eastAsia="Times New Roman" w:hAnsi="IRANSharp" w:cs="IRANSharp"/>
          <w:color w:val="000000"/>
          <w:sz w:val="24"/>
          <w:szCs w:val="24"/>
          <w:rtl/>
        </w:rPr>
        <w:t xml:space="preserve"> از این امر در نظر گرفته شده است و نیز دربارۀ مراقبت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پزشکی و بهداشتیِ فراهم‌شده برای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مادران و نوزادان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گزارش دهند.</w:t>
      </w:r>
    </w:p>
    <w:p w14:paraId="3DBE8BCA"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۱۶. در ارتباط با مادۀ ۱۲، کشورهای عضو باید دربارۀ هریک از مقررات حقوقی یا روال</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مرسومی که حقوق زنان را برای آزادی سفر منع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کند، اطلاعاتی فراهم کنند؛ برای مثال استفاده از اختیارات زناشویی برای کنترل زن یا اختیارات والدین برای کنترل دختران بزرگ‌سال و نیز شرایط قانونی یا غیررسمی که زنان را از سفر باز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دارد از قبیل نیاز به رضایت شخص ثالث برای صدور گذرنامه یا انواع دیگر اسناد و اوراق مسافرتی برای زن بزرگ‌سال. کشورهای عضو همچنین، باید دربارۀ اقداماتی که برای لغو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قوانین و </w:t>
      </w:r>
      <w:r w:rsidR="00FD2D68" w:rsidRPr="008A6D9B">
        <w:rPr>
          <w:rFonts w:ascii="IRANSharp" w:eastAsia="Times New Roman" w:hAnsi="IRANSharp" w:cs="IRANSharp"/>
          <w:color w:val="000000"/>
          <w:sz w:val="24"/>
          <w:szCs w:val="24"/>
          <w:rtl/>
        </w:rPr>
        <w:t>آداب‌ورسوم</w:t>
      </w:r>
      <w:r w:rsidRPr="008A6D9B">
        <w:rPr>
          <w:rFonts w:ascii="IRANSharp" w:eastAsia="Times New Roman" w:hAnsi="IRANSharp" w:cs="IRANSharp"/>
          <w:color w:val="000000"/>
          <w:sz w:val="24"/>
          <w:szCs w:val="24"/>
          <w:rtl/>
        </w:rPr>
        <w:t xml:space="preserve"> و محافظت از زنان در برابر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انجام داده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اند، ازجمله اشاره به غرامت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موجود در داخل کشور گزارش تهیه کنند.</w:t>
      </w:r>
      <w:r w:rsidRPr="008A6D9B">
        <w:rPr>
          <w:rFonts w:ascii="IRANSharp" w:eastAsia="Times New Roman" w:hAnsi="IRANSharp" w:cs="IRANSharp"/>
          <w:color w:val="000000"/>
          <w:sz w:val="24"/>
          <w:szCs w:val="24"/>
          <w:vertAlign w:val="superscript"/>
        </w:rPr>
        <w:footnoteReference w:id="2"/>
      </w:r>
      <w:r w:rsidRPr="008A6D9B">
        <w:rPr>
          <w:rFonts w:ascii="IRANSharp" w:eastAsia="Times New Roman" w:hAnsi="IRANSharp" w:cs="IRANSharp"/>
          <w:color w:val="000000"/>
          <w:sz w:val="24"/>
          <w:szCs w:val="24"/>
        </w:rPr>
        <w:t xml:space="preserve"> </w:t>
      </w:r>
    </w:p>
    <w:p w14:paraId="52059A7A"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۱۷. کشورهای عضو باید اطمینان حاصل کنند که با زنان خارجی دربارۀ ارائۀ دلایل برای اخراجشان از کشور و بازبینی پرونده‌شان به شرحی که در مادۀ ۱۳ تصریح شده است، باید به طور مساوی رفتار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شود. در ارتباط با این موضوع،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باید حق داشته باشند دلایل خود را بر پایۀ موارد نقض </w:t>
      </w:r>
      <w:r w:rsidRPr="008A6D9B">
        <w:rPr>
          <w:rFonts w:ascii="IRANSharp" w:eastAsia="Times New Roman" w:hAnsi="IRANSharp" w:cs="IRANSharp"/>
          <w:color w:val="000000"/>
          <w:sz w:val="24"/>
          <w:szCs w:val="24"/>
          <w:rtl/>
        </w:rPr>
        <w:lastRenderedPageBreak/>
        <w:t>میثاق که به خصوص به جنسیت افراد مربوط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شود، مطرح کنند؛ از قبیل مواردی که در پاراگراف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۱۰ و ۱۱ ذکر شد.</w:t>
      </w:r>
    </w:p>
    <w:p w14:paraId="3C0408D9"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۱۸. کشورهای عضو باید اطلاعاتی در اختیار کمیته قرار دهند تا کمیته مطمئن شود که دسترسی به عدالت و حق برخورداری از یک محاکمۀ عادلانه به شرحی که در مادۀ ۱۴ تصریح شده است، برای زنان و مردان به یک اندازه فراهم می‌شود. کشورهای عضو به ویژه باید کمیته را مطلع کنند که آیا هیچ‌گونه منع قانونی برای زنان وجود دارد که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را از دسترسی مستقیم و مستقل به دادگاه منع کند؛</w:t>
      </w:r>
      <w:r w:rsidRPr="008A6D9B">
        <w:rPr>
          <w:rFonts w:ascii="IRANSharp" w:eastAsia="Times New Roman" w:hAnsi="IRANSharp" w:cs="IRANSharp"/>
          <w:color w:val="000000"/>
          <w:sz w:val="24"/>
          <w:szCs w:val="24"/>
          <w:vertAlign w:val="superscript"/>
        </w:rPr>
        <w:footnoteReference w:id="3"/>
      </w:r>
      <w:r w:rsidRPr="008A6D9B">
        <w:rPr>
          <w:rFonts w:ascii="IRANSharp" w:eastAsia="Times New Roman" w:hAnsi="IRANSharp" w:cs="IRANSharp"/>
          <w:color w:val="000000"/>
          <w:sz w:val="24"/>
          <w:szCs w:val="24"/>
          <w:rtl/>
        </w:rPr>
        <w:t xml:space="preserve"> آیا زنان هم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توانند با شرایط مساوی با مردان به عنوان شاهد شهادت دهند و آیا اقداماتی صورت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گیرد که تضمین کند زنان نیز به طور مساوی به دریافت کمک هزینۀ قانونی به ویژه دربارۀ مسائل خانوادگی دسترسی دارند. کشورهای عضو باید در گزارش خود قید کنند که آیا طبقات خاصی از زنان از بهره‌مندی از اصل برائت بر طبق پاراگراف ۲ مادۀ ۱۴ محروم شده‌اند و نیز مشخص کنند که چه اقداماتی برای </w:t>
      </w:r>
      <w:r w:rsidR="00FD2D68" w:rsidRPr="008A6D9B">
        <w:rPr>
          <w:rFonts w:ascii="IRANSharp" w:eastAsia="Times New Roman" w:hAnsi="IRANSharp" w:cs="IRANSharp"/>
          <w:color w:val="000000"/>
          <w:sz w:val="24"/>
          <w:szCs w:val="24"/>
          <w:rtl/>
        </w:rPr>
        <w:t>پایان دادن</w:t>
      </w:r>
      <w:r w:rsidRPr="008A6D9B">
        <w:rPr>
          <w:rFonts w:ascii="IRANSharp" w:eastAsia="Times New Roman" w:hAnsi="IRANSharp" w:cs="IRANSharp"/>
          <w:color w:val="000000"/>
          <w:sz w:val="24"/>
          <w:szCs w:val="24"/>
          <w:rtl/>
        </w:rPr>
        <w:t xml:space="preserve"> به این وضعیت انجام داده‌اند.</w:t>
      </w:r>
    </w:p>
    <w:p w14:paraId="01D42E19"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۱۹. حق هر فرد بر اساس مادۀ ۱۶ که در همه‌جا به عنوان یک شخص در برابر قانون محسوب شود، به ویژه دربارۀ زنان به جا و مناسب</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 است؛ زیرا ایشان اغلب به دلیل جنسیت یا وضعیت ازدواج، خود را به طور کامل از این حق برخوردار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یابند. این حق متضمن آن است که توانایی زنان برای تملک دارایی، شرکت در قرارداد یا برخورداری از دیگر حقوق مدنی را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توان بر اساس وضعیت ازدواج یا هر دلیل تبعیض‌آمیز دیگری محدود کرد. این قانون همچنین بر آن دلالت دارد که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توان زنان را به عنوان شیئی دید که همراه با دیگر دارایی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از شوهر متوفی به خانواده به ارث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رسد. کشورها باید اطلاعاتی ارائه کنند دربارۀ قوانین یا </w:t>
      </w:r>
      <w:r w:rsidR="00FD2D68" w:rsidRPr="008A6D9B">
        <w:rPr>
          <w:rFonts w:ascii="IRANSharp" w:eastAsia="Times New Roman" w:hAnsi="IRANSharp" w:cs="IRANSharp"/>
          <w:color w:val="000000"/>
          <w:sz w:val="24"/>
          <w:szCs w:val="24"/>
          <w:rtl/>
        </w:rPr>
        <w:t>آداب‌ورسوم</w:t>
      </w:r>
      <w:r w:rsidRPr="008A6D9B">
        <w:rPr>
          <w:rFonts w:ascii="IRANSharp" w:eastAsia="Times New Roman" w:hAnsi="IRANSharp" w:cs="IRANSharp"/>
          <w:color w:val="000000"/>
          <w:sz w:val="24"/>
          <w:szCs w:val="24"/>
          <w:rtl/>
        </w:rPr>
        <w:t xml:space="preserve">ی که مانع رفتار با زن به عنوان یک شخص قانونی کامل شده یا مانع </w:t>
      </w:r>
      <w:r w:rsidR="00FD2D68" w:rsidRPr="008A6D9B">
        <w:rPr>
          <w:rFonts w:ascii="IRANSharp" w:eastAsia="Times New Roman" w:hAnsi="IRANSharp" w:cs="IRANSharp"/>
          <w:color w:val="000000"/>
          <w:sz w:val="24"/>
          <w:szCs w:val="24"/>
          <w:rtl/>
        </w:rPr>
        <w:t>عملکرد</w:t>
      </w:r>
      <w:r w:rsidRPr="008A6D9B">
        <w:rPr>
          <w:rFonts w:ascii="IRANSharp" w:eastAsia="Times New Roman" w:hAnsi="IRANSharp" w:cs="IRANSharp"/>
          <w:color w:val="000000"/>
          <w:sz w:val="24"/>
          <w:szCs w:val="24"/>
          <w:rtl/>
        </w:rPr>
        <w:t xml:space="preserve"> او به عنوان یک شخص قانونی کامل می‌شوند. همچنین باید دربارۀ اقداماتی که برای </w:t>
      </w:r>
      <w:r w:rsidR="00FD2D68" w:rsidRPr="008A6D9B">
        <w:rPr>
          <w:rFonts w:ascii="IRANSharp" w:eastAsia="Times New Roman" w:hAnsi="IRANSharp" w:cs="IRANSharp"/>
          <w:color w:val="000000"/>
          <w:sz w:val="24"/>
          <w:szCs w:val="24"/>
          <w:rtl/>
        </w:rPr>
        <w:t>ریشه‌کن کردن</w:t>
      </w:r>
      <w:r w:rsidRPr="008A6D9B">
        <w:rPr>
          <w:rFonts w:ascii="IRANSharp" w:eastAsia="Times New Roman" w:hAnsi="IRANSharp" w:cs="IRANSharp"/>
          <w:color w:val="000000"/>
          <w:sz w:val="24"/>
          <w:szCs w:val="24"/>
          <w:rtl/>
        </w:rPr>
        <w:t xml:space="preserve"> قوانین و رسومی که چنین برخوردی را مجاز می‌دانند، اطلاعاتی فراهم کنند.</w:t>
      </w:r>
    </w:p>
    <w:p w14:paraId="43F93093"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۲۰. کشورهای عضو باید اطلاعاتی در دسترس کمیته قرار دهند تا کمیته بتواند به ارزیابی تأثیر هریک از قوانین و رسومی بپردازد که ممکن است با حق زنان برای برخورداری از حفظ حریم شخصی و دیگر حقوق محافظت‌شده در مادۀ ۱۷ بر پایۀ تساوی با مردان مداخله کند. یک نمونه از چنین مداخلاتی در جایی مطرح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که زندگی جنسی زن، برای تصمیم‌گیری در میزان حقوق و حمایت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قانونی، ازجمله حمایت از وی در برابر تجاوز جنسی در نظر گرفته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زمینۀ دیگری که ممکن است کشورها در آن به حریم شخصی زنان احترام نگذارند، به عملکردهای تولیدمثل آنان مربوط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برای مثال، مواقعی که در تصمیم‌گیری برای عقیم‌سازی به اجازۀ شوهر نیاز است یا یک سلسله شروط عمومی برای عقیم‌سازی زنان تحمیل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گردد از قبیل </w:t>
      </w:r>
      <w:r w:rsidR="00FD2D68" w:rsidRPr="008A6D9B">
        <w:rPr>
          <w:rFonts w:ascii="IRANSharp" w:eastAsia="Times New Roman" w:hAnsi="IRANSharp" w:cs="IRANSharp"/>
          <w:color w:val="000000"/>
          <w:sz w:val="24"/>
          <w:szCs w:val="24"/>
          <w:rtl/>
        </w:rPr>
        <w:t>دارا بودن</w:t>
      </w:r>
      <w:r w:rsidRPr="008A6D9B">
        <w:rPr>
          <w:rFonts w:ascii="IRANSharp" w:eastAsia="Times New Roman" w:hAnsi="IRANSharp" w:cs="IRANSharp"/>
          <w:color w:val="000000"/>
          <w:sz w:val="24"/>
          <w:szCs w:val="24"/>
          <w:rtl/>
        </w:rPr>
        <w:t xml:space="preserve"> تعداد به خصوصی فرزند یا رسیدن به سن به خصوص یا در مواردی که کشورها این وظیفۀ قانونی را به پزشکان و دیگر کارکنان بهداری تحمیل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کنند که موارد مربوط به زنانی را که عمل </w:t>
      </w:r>
      <w:r w:rsidR="00FD2D68" w:rsidRPr="008A6D9B">
        <w:rPr>
          <w:rFonts w:ascii="IRANSharp" w:eastAsia="Times New Roman" w:hAnsi="IRANSharp" w:cs="IRANSharp"/>
          <w:color w:val="000000"/>
          <w:sz w:val="24"/>
          <w:szCs w:val="24"/>
          <w:rtl/>
        </w:rPr>
        <w:t>سقط‌جنین</w:t>
      </w:r>
      <w:r w:rsidRPr="008A6D9B">
        <w:rPr>
          <w:rFonts w:ascii="IRANSharp" w:eastAsia="Times New Roman" w:hAnsi="IRANSharp" w:cs="IRANSharp"/>
          <w:color w:val="000000"/>
          <w:sz w:val="24"/>
          <w:szCs w:val="24"/>
          <w:rtl/>
        </w:rPr>
        <w:t xml:space="preserve"> انجام داده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اند، گزارش کنند. در این مواقع، دیگر حقوق مندرج در میثاق از قبیل </w:t>
      </w:r>
      <w:r w:rsidRPr="008A6D9B">
        <w:rPr>
          <w:rFonts w:ascii="IRANSharp" w:eastAsia="Times New Roman" w:hAnsi="IRANSharp" w:cs="IRANSharp"/>
          <w:color w:val="000000"/>
          <w:sz w:val="24"/>
          <w:szCs w:val="24"/>
          <w:rtl/>
        </w:rPr>
        <w:lastRenderedPageBreak/>
        <w:t xml:space="preserve">ماده‌های ۶ و ۷ نیز ممکن است در معرض خطر باشد. موضوع حفظ حریم شخصی زنان همچنین، ممکن است توسط عاملان خصوصی از قبیل کارفرمایانی مورد مداخله قرار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گیرد که پیش از استخدام یک زن، از وی درخواست انجام آزمایش حاملگی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کنند. کشورهای عضو باید دربارۀ هر قانون و هرگونه اقدام دولتی یا خصوصی که سبب اخلال در برخورداری مساوی زنان از حقوق مندرج در مادۀ ۱۷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گردد و نیز دربارۀ اقدامات انجام‌شده برای از</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بین‌</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 xml:space="preserve">بردن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مداخلات و محافظت از زنان در برابر چنین مداخلاتی گزارش دهند.</w:t>
      </w:r>
    </w:p>
    <w:p w14:paraId="49C959C9"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۲۱. کشورهای عضو باید اقداماتی انجام دهند تا اطمینان یابند آزادی اندیشه، وجدان و مذهب و نیز آزادی انتخاب مذهب یا عقیدۀ </w:t>
      </w:r>
      <w:r w:rsidR="00FD2D68" w:rsidRPr="008A6D9B">
        <w:rPr>
          <w:rFonts w:ascii="IRANSharp" w:eastAsia="Times New Roman" w:hAnsi="IRANSharp" w:cs="IRANSharp"/>
          <w:color w:val="000000"/>
          <w:sz w:val="24"/>
          <w:szCs w:val="24"/>
          <w:rtl/>
        </w:rPr>
        <w:t>موردعلاقۀ</w:t>
      </w:r>
      <w:r w:rsidRPr="008A6D9B">
        <w:rPr>
          <w:rFonts w:ascii="IRANSharp" w:eastAsia="Times New Roman" w:hAnsi="IRANSharp" w:cs="IRANSharp"/>
          <w:color w:val="000000"/>
          <w:sz w:val="24"/>
          <w:szCs w:val="24"/>
          <w:rtl/>
        </w:rPr>
        <w:t xml:space="preserve"> فرد، ازجمله تغییر مذهب یا عقیده و بیان اعتقادات مذهبی و عقاید، چه در قانون و چه در عمل، هم برای مردان و هم برای زنان با همان شرایط و بدون هیچ‌گونه تبعیض، تضمین و محافظت می‌شود. این آزادی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که در مادۀ ۱۸ مورد محافظت قرار گرفته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اند، نباید تحت هیچ‌گونه محدودیتی قرار گیرند؛ مگر حدودی که توسط این میثاق مجاز شمرده شده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اند. همچنین، نباید تحت هیچ‌گونه قیدوبندی درآیند ازجمله قوانینی که اجازۀ شخص ثالث یا مداخلۀ پدر، شوهر، برادر یا دیگران را لازم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شمارد. نمی‌توان با اشاره به آزادی اندیشه، وجدان و مذهب به مادۀ ۱۸ برای توجیه تبعیض علیه زنان تکیه کرد. بنابراین کشورهای عضو باید دربارۀ وضعیت زنان از جهت آزادی عقیده، مذهب و اندیشه اطلاعاتی ارائه داده و نشان دهند که هم برای از</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میان‌</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 xml:space="preserve">برداشتن و هم برای </w:t>
      </w:r>
      <w:r w:rsidR="00FD2D68" w:rsidRPr="008A6D9B">
        <w:rPr>
          <w:rFonts w:ascii="IRANSharp" w:eastAsia="Times New Roman" w:hAnsi="IRANSharp" w:cs="IRANSharp"/>
          <w:color w:val="000000"/>
          <w:sz w:val="24"/>
          <w:szCs w:val="24"/>
          <w:rtl/>
        </w:rPr>
        <w:t>پیشگیری کردن</w:t>
      </w:r>
      <w:r w:rsidRPr="008A6D9B">
        <w:rPr>
          <w:rFonts w:ascii="IRANSharp" w:eastAsia="Times New Roman" w:hAnsi="IRANSharp" w:cs="IRANSharp"/>
          <w:color w:val="000000"/>
          <w:sz w:val="24"/>
          <w:szCs w:val="24"/>
          <w:rtl/>
        </w:rPr>
        <w:t xml:space="preserve"> از نقض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آزادی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برای زنان و محافظت از حقوق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در برابر این تبعیض</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چه مراحلی را طی کرده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اند یا قصد دارند طی کنند.</w:t>
      </w:r>
    </w:p>
    <w:p w14:paraId="4C865174"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۲۲. در ارتباط با مادۀ ۱۹ کشورهای عضو باید کمیته را از وجود هرگونه قوانین یا عوامل دیگری که ممکن است سد راه زنان برای برخورداری مساوی‌شان از حقوق محافظت‌شده در این ماده باشد، مطلع کنند. ازآنجاکه انتشار و توزیع مطالب مستهجن و هرزه‌نگاری که زنان و دختران را در معرض خشونت یا تحقیر یا رفتارهای غیرانسانی قرار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دهد، ممکن است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رفتار با زنان و دختران را ترویج دهد؛ بنابراین، کشورهای عضو باید اطلاعاتی دربارۀ اقدامات قانونی برای </w:t>
      </w:r>
      <w:r w:rsidR="00FD2D68" w:rsidRPr="008A6D9B">
        <w:rPr>
          <w:rFonts w:ascii="IRANSharp" w:eastAsia="Times New Roman" w:hAnsi="IRANSharp" w:cs="IRANSharp"/>
          <w:color w:val="000000"/>
          <w:sz w:val="24"/>
          <w:szCs w:val="24"/>
          <w:rtl/>
        </w:rPr>
        <w:t>محدود ساختن</w:t>
      </w:r>
      <w:r w:rsidRPr="008A6D9B">
        <w:rPr>
          <w:rFonts w:ascii="IRANSharp" w:eastAsia="Times New Roman" w:hAnsi="IRANSharp" w:cs="IRANSharp"/>
          <w:color w:val="000000"/>
          <w:sz w:val="24"/>
          <w:szCs w:val="24"/>
          <w:rtl/>
        </w:rPr>
        <w:t xml:space="preserve"> انتشار یا توزیع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مطالب تهیه کنند.</w:t>
      </w:r>
    </w:p>
    <w:p w14:paraId="57EFBC63"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۲۳. کشورها ملزم هستند در ارتباط با موضوع ازدواج، بر طبق مادۀ ۲۳ که در اظهارنظر عمومی شمارۀ ۱۹ (۱۹۹۰) حتی بیشتر شرح داده شده است، با مردان و زنان </w:t>
      </w:r>
      <w:r w:rsidR="00FD2D68" w:rsidRPr="008A6D9B">
        <w:rPr>
          <w:rFonts w:ascii="IRANSharp" w:eastAsia="Times New Roman" w:hAnsi="IRANSharp" w:cs="IRANSharp"/>
          <w:color w:val="000000"/>
          <w:sz w:val="24"/>
          <w:szCs w:val="24"/>
          <w:rtl/>
        </w:rPr>
        <w:t>به‌گونه‌ای</w:t>
      </w:r>
      <w:r w:rsidRPr="008A6D9B">
        <w:rPr>
          <w:rFonts w:ascii="IRANSharp" w:eastAsia="Times New Roman" w:hAnsi="IRANSharp" w:cs="IRANSharp"/>
          <w:color w:val="000000"/>
          <w:sz w:val="24"/>
          <w:szCs w:val="24"/>
          <w:rtl/>
        </w:rPr>
        <w:t xml:space="preserve">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برابر برخورد کنند. مردان و زنان از این حق برخوردار هستند که با آزادی و رضایت کامل ازدواج کنند و دولت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متعهدند برخورداری از این حق را به طور مساوی تضمین کنند. عوامل بسیاری ممکن است مانع از تصمیم‌گیری آزاد زنان به ازدواج شوند. یکی از این عوامل، مربوط به حداقل میزان سن ازدواج است. سن ازدواج باید توسط دولت و بر پایۀ معیارهای مساوی برای مردان و زنان تعیین گردد. این معیارها باید قابلیت زنان برای تصمیم‌گیری آگاهانه و آزادانه را تضمین کنند. یک عامل دیگر در برخی از کشورها این است که بر اساس قانون رسمی یا عرفی کشور، ولیِ زن که معمولاً مذکر است، به جای شخص وی به ازدواج رضایت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دهد و بدین وسیله، زنان را از برخورداری از حق انتخاب آزادانه محروم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کند.</w:t>
      </w:r>
    </w:p>
    <w:p w14:paraId="231AF55D"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lastRenderedPageBreak/>
        <w:t xml:space="preserve">۲۴. یک عامل متفاوت که ممکن است بر حق زن برای ازدواج بر اساس آزادی و رضایت کامل وی تأثیر بگذارد، وجود یک نگرش اجتماعی است که میل دارد زنان قربانی تجاوز جنسی را حاشیه‌نشین کند و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را تحت فشار قرار دهد که به ازدواج رضایت دهند. همچنین، قوانینی که به شخص تجاوزگر جنسی اجازه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دهد از طریق ازدواج با قربانی خود مسئولیت کیفری خویش را از بین ببرد یا تخفیف دهد، سبب تضعیف حق زن برای داشتن رضایت کامل و آزادانه به ازدواج می‌شود. کشورهای عضو باید این موارد را مشخص کنند: آیا ازدواج با قربانی، مسئولیت کیفری شخص را از بین می‌برد یا تخفیف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دهد و اینکه در صورت </w:t>
      </w:r>
      <w:r w:rsidR="00FD2D68" w:rsidRPr="008A6D9B">
        <w:rPr>
          <w:rFonts w:ascii="IRANSharp" w:eastAsia="Times New Roman" w:hAnsi="IRANSharp" w:cs="IRANSharp"/>
          <w:color w:val="000000"/>
          <w:sz w:val="24"/>
          <w:szCs w:val="24"/>
          <w:rtl/>
        </w:rPr>
        <w:t>صغیر بودن</w:t>
      </w:r>
      <w:r w:rsidRPr="008A6D9B">
        <w:rPr>
          <w:rFonts w:ascii="IRANSharp" w:eastAsia="Times New Roman" w:hAnsi="IRANSharp" w:cs="IRANSharp"/>
          <w:color w:val="000000"/>
          <w:sz w:val="24"/>
          <w:szCs w:val="24"/>
          <w:rtl/>
        </w:rPr>
        <w:t xml:space="preserve"> قربانی، به ویژه در جوامعی که قربانیان تجاوز جنسی در جامعه تحقیر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شوند، آیا تجاوز جنسی سبب کاهش سن ازدواج قربانی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یک جنبۀ متفاوت حق ازدواج ممکن است موقعی تحت تأثیر قرار گیرد که کشورها برای زنان در مقایسه با مردان، محدودیت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را برای ازدواج مجدد قائل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شوند. همچنین، حق انتخاب همسر ممکن است توسط قوانین یا روال</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محدود شود ازجمله اینکه ازدواج زنی با مذهبی خاص با مردی که پیرو هیچ مذهبی نیست یا مذهبی متفاوت دارد را ممنوع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کند. کشورها باید دربارۀ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قوانین و مرسومات و نیز اقدامات انجام‌شده برای نسخ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و </w:t>
      </w:r>
      <w:r w:rsidR="00FD2D68" w:rsidRPr="008A6D9B">
        <w:rPr>
          <w:rFonts w:ascii="IRANSharp" w:eastAsia="Times New Roman" w:hAnsi="IRANSharp" w:cs="IRANSharp"/>
          <w:color w:val="000000"/>
          <w:sz w:val="24"/>
          <w:szCs w:val="24"/>
          <w:rtl/>
        </w:rPr>
        <w:t>ریشه‌کن کردن</w:t>
      </w:r>
      <w:r w:rsidRPr="008A6D9B">
        <w:rPr>
          <w:rFonts w:ascii="IRANSharp" w:eastAsia="Times New Roman" w:hAnsi="IRANSharp" w:cs="IRANSharp"/>
          <w:color w:val="000000"/>
          <w:sz w:val="24"/>
          <w:szCs w:val="24"/>
          <w:rtl/>
        </w:rPr>
        <w:t xml:space="preserve"> </w:t>
      </w:r>
      <w:r w:rsidR="00FD2D68" w:rsidRPr="008A6D9B">
        <w:rPr>
          <w:rFonts w:ascii="IRANSharp" w:eastAsia="Times New Roman" w:hAnsi="IRANSharp" w:cs="IRANSharp"/>
          <w:color w:val="000000"/>
          <w:sz w:val="24"/>
          <w:szCs w:val="24"/>
          <w:rtl/>
        </w:rPr>
        <w:t>این‌گونه</w:t>
      </w:r>
      <w:r w:rsidRPr="008A6D9B">
        <w:rPr>
          <w:rFonts w:ascii="IRANSharp" w:eastAsia="Times New Roman" w:hAnsi="IRANSharp" w:cs="IRANSharp"/>
          <w:color w:val="000000"/>
          <w:sz w:val="24"/>
          <w:szCs w:val="24"/>
          <w:rtl/>
        </w:rPr>
        <w:t xml:space="preserve"> رسم</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که حق زن را برای رضایت کامل و آزاد به ازدواج تضعیف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کند، اطلاعاتی تهیه کنند. همچنین، باید به این نکته توجه کرد که </w:t>
      </w:r>
      <w:r w:rsidR="00FD2D68" w:rsidRPr="008A6D9B">
        <w:rPr>
          <w:rFonts w:ascii="IRANSharp" w:eastAsia="Times New Roman" w:hAnsi="IRANSharp" w:cs="IRANSharp"/>
          <w:color w:val="000000"/>
          <w:sz w:val="24"/>
          <w:szCs w:val="24"/>
          <w:rtl/>
        </w:rPr>
        <w:t>چندهمسری</w:t>
      </w:r>
      <w:r w:rsidRPr="008A6D9B">
        <w:rPr>
          <w:rFonts w:ascii="IRANSharp" w:eastAsia="Times New Roman" w:hAnsi="IRANSharp" w:cs="IRANSharp"/>
          <w:color w:val="000000"/>
          <w:sz w:val="24"/>
          <w:szCs w:val="24"/>
          <w:rtl/>
        </w:rPr>
        <w:t xml:space="preserve"> با اصل برابری در داشتن حق ازدواج سازگار نیست. چندهمسری شأن و مقام زنان را تضییع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کند. این یک تبعیض </w:t>
      </w:r>
      <w:r w:rsidR="00FD2D68" w:rsidRPr="008A6D9B">
        <w:rPr>
          <w:rFonts w:ascii="IRANSharp" w:eastAsia="Times New Roman" w:hAnsi="IRANSharp" w:cs="IRANSharp"/>
          <w:color w:val="000000"/>
          <w:sz w:val="24"/>
          <w:szCs w:val="24"/>
          <w:rtl/>
        </w:rPr>
        <w:t>غیرقابل‌قبول</w:t>
      </w:r>
      <w:r w:rsidRPr="008A6D9B">
        <w:rPr>
          <w:rFonts w:ascii="IRANSharp" w:eastAsia="Times New Roman" w:hAnsi="IRANSharp" w:cs="IRANSharp"/>
          <w:color w:val="000000"/>
          <w:sz w:val="24"/>
          <w:szCs w:val="24"/>
          <w:rtl/>
        </w:rPr>
        <w:t xml:space="preserve"> نسبت به زنان است. درنتیجه، در </w:t>
      </w:r>
      <w:r w:rsidR="00FD2D68" w:rsidRPr="008A6D9B">
        <w:rPr>
          <w:rFonts w:ascii="IRANSharp" w:eastAsia="Times New Roman" w:hAnsi="IRANSharp" w:cs="IRANSharp"/>
          <w:color w:val="000000"/>
          <w:sz w:val="24"/>
          <w:szCs w:val="24"/>
          <w:rtl/>
        </w:rPr>
        <w:t>هرجایی</w:t>
      </w:r>
      <w:r w:rsidRPr="008A6D9B">
        <w:rPr>
          <w:rFonts w:ascii="IRANSharp" w:eastAsia="Times New Roman" w:hAnsi="IRANSharp" w:cs="IRANSharp"/>
          <w:color w:val="000000"/>
          <w:sz w:val="24"/>
          <w:szCs w:val="24"/>
          <w:rtl/>
        </w:rPr>
        <w:t xml:space="preserve"> که </w:t>
      </w:r>
      <w:r w:rsidR="00FD2D68" w:rsidRPr="008A6D9B">
        <w:rPr>
          <w:rFonts w:ascii="IRANSharp" w:eastAsia="Times New Roman" w:hAnsi="IRANSharp" w:cs="IRANSharp"/>
          <w:color w:val="000000"/>
          <w:sz w:val="24"/>
          <w:szCs w:val="24"/>
          <w:rtl/>
        </w:rPr>
        <w:t>چندهمسری</w:t>
      </w:r>
      <w:r w:rsidRPr="008A6D9B">
        <w:rPr>
          <w:rFonts w:ascii="IRANSharp" w:eastAsia="Times New Roman" w:hAnsi="IRANSharp" w:cs="IRANSharp"/>
          <w:color w:val="000000"/>
          <w:sz w:val="24"/>
          <w:szCs w:val="24"/>
          <w:rtl/>
        </w:rPr>
        <w:t xml:space="preserve"> وجود دارد، باید مطلقاً منسوخ شود.</w:t>
      </w:r>
    </w:p>
    <w:p w14:paraId="5C43AAA1"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۲۵. کشورها برای اجرای تعهدات خود بر طبق مادۀ ۲۳ پاراگراف ۴، باید اطمینان یابند که نظام ازدواج در ارتباط با حضانت و مراقبت از فرزندان، آموزش مذهبی و اخلاقی کودکان، امکان انتقال ملیت والدین به فرزندان و مالکیت و ادارۀ املاک، چه ملک بین طرفین مشترک باشد و چه مالکیت آن در انحصار یکی از طرفین باشد، دارای حقوق و تعهدات مساوی برای طرفین ازدواج است. کشورها باید قوانین خود را بازبینی کنند تا اطمینان یابند که زنان متأهل در ارتباط با مالکیت و ادارۀ چنین املاکی در صورت لزوم دارای حقوق مساوی باشند. دولت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همچنین باید تضمین کنند که در ارتباط با </w:t>
      </w:r>
      <w:r w:rsidR="00FD2D68" w:rsidRPr="008A6D9B">
        <w:rPr>
          <w:rFonts w:ascii="IRANSharp" w:eastAsia="Times New Roman" w:hAnsi="IRANSharp" w:cs="IRANSharp"/>
          <w:color w:val="000000"/>
          <w:sz w:val="24"/>
          <w:szCs w:val="24"/>
          <w:rtl/>
        </w:rPr>
        <w:t>به دست آوردن</w:t>
      </w:r>
      <w:r w:rsidRPr="008A6D9B">
        <w:rPr>
          <w:rFonts w:ascii="IRANSharp" w:eastAsia="Times New Roman" w:hAnsi="IRANSharp" w:cs="IRANSharp"/>
          <w:color w:val="000000"/>
          <w:sz w:val="24"/>
          <w:szCs w:val="24"/>
          <w:rtl/>
        </w:rPr>
        <w:t xml:space="preserve"> یا ازدست‌دادن ملیت به دلیل ازدواج، حق سکنی و حق هریک از طرفین ازدواج برای نگه‌داشتن و استفاده از نام خانوادگی اولیۀ خود یا مشارکت مساوی در انتخاب یک نام خانوادگی جدید، هیچ‌گونه تبعیض جنسی رخ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دهد. برخورداری از تساوی در طی ازدواج بدان معناست که زن و شوهر باید به طور برابر در مسئولیت و اختیارات خانواده با یکدیگر سهیم باشند.</w:t>
      </w:r>
    </w:p>
    <w:p w14:paraId="2AF5C505"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۲۶. کشورها باید برابری دو طرف را در ارتباط با فسخ ازدواج تضمین کنند که شامل امکان ابطال عقد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گردد. دلایل طلاق و ابطال عقد ازدواج و نیز تصمیم دربارۀ تقسیم دارایی، نفقه و حضانت فرزندان باید برای مرد و زن یکسان باشد. نیاز به ابقای تماس میان فرزندان و والدی که مسئولیت حضانت را بر عهده ندارد، باید بر پایۀ ملاحظات برابر صورت گیرد. </w:t>
      </w:r>
      <w:r w:rsidR="00FD2D68" w:rsidRPr="008A6D9B">
        <w:rPr>
          <w:rFonts w:ascii="IRANSharp" w:eastAsia="Times New Roman" w:hAnsi="IRANSharp" w:cs="IRANSharp"/>
          <w:color w:val="000000"/>
          <w:sz w:val="24"/>
          <w:szCs w:val="24"/>
          <w:rtl/>
        </w:rPr>
        <w:t>هنگامی‌که</w:t>
      </w:r>
      <w:r w:rsidRPr="008A6D9B">
        <w:rPr>
          <w:rFonts w:ascii="IRANSharp" w:eastAsia="Times New Roman" w:hAnsi="IRANSharp" w:cs="IRANSharp"/>
          <w:color w:val="000000"/>
          <w:sz w:val="24"/>
          <w:szCs w:val="24"/>
          <w:rtl/>
        </w:rPr>
        <w:t xml:space="preserve"> فسخ ازدواج به علت </w:t>
      </w:r>
      <w:r w:rsidRPr="008A6D9B">
        <w:rPr>
          <w:rFonts w:ascii="IRANSharp" w:eastAsia="Times New Roman" w:hAnsi="IRANSharp" w:cs="IRANSharp"/>
          <w:color w:val="000000"/>
          <w:sz w:val="24"/>
          <w:szCs w:val="24"/>
          <w:rtl/>
        </w:rPr>
        <w:lastRenderedPageBreak/>
        <w:t>مرگ یکی از طرفین ازدواج حاصل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زنان نیز باید از حقوق ارث مساوی با مردان برخوردار شوند.</w:t>
      </w:r>
    </w:p>
    <w:p w14:paraId="31942530"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۲۷. برای به </w:t>
      </w:r>
      <w:r w:rsidR="00FD2D68" w:rsidRPr="008A6D9B">
        <w:rPr>
          <w:rFonts w:ascii="IRANSharp" w:eastAsia="Times New Roman" w:hAnsi="IRANSharp" w:cs="IRANSharp"/>
          <w:color w:val="000000"/>
          <w:sz w:val="24"/>
          <w:szCs w:val="24"/>
          <w:rtl/>
        </w:rPr>
        <w:t>رسمیت شناختن</w:t>
      </w:r>
      <w:r w:rsidRPr="008A6D9B">
        <w:rPr>
          <w:rFonts w:ascii="IRANSharp" w:eastAsia="Times New Roman" w:hAnsi="IRANSharp" w:cs="IRANSharp"/>
          <w:color w:val="000000"/>
          <w:sz w:val="24"/>
          <w:szCs w:val="24"/>
          <w:rtl/>
        </w:rPr>
        <w:t xml:space="preserve"> خانواده در عمل و با</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توجه</w:t>
      </w:r>
      <w:r w:rsidR="00FD2D68" w:rsidRPr="008A6D9B">
        <w:rPr>
          <w:rFonts w:ascii="IRANSharp" w:eastAsia="Times New Roman" w:hAnsi="IRANSharp" w:cs="IRANSharp"/>
          <w:color w:val="000000"/>
          <w:sz w:val="24"/>
          <w:szCs w:val="24"/>
          <w:rtl/>
        </w:rPr>
        <w:t xml:space="preserve"> </w:t>
      </w:r>
      <w:r w:rsidRPr="008A6D9B">
        <w:rPr>
          <w:rFonts w:ascii="IRANSharp" w:eastAsia="Times New Roman" w:hAnsi="IRANSharp" w:cs="IRANSharp"/>
          <w:color w:val="000000"/>
          <w:sz w:val="24"/>
          <w:szCs w:val="24"/>
          <w:rtl/>
        </w:rPr>
        <w:t>‌به مادۀ ۲۳، این مطلب اهمیت دارد که مفهوم اَشکال گوناگون خانواده ازجمله زوج</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00FD2D68" w:rsidRPr="008A6D9B">
        <w:rPr>
          <w:rFonts w:ascii="IRANSharp" w:eastAsia="Times New Roman" w:hAnsi="IRANSharp" w:cs="IRANSharp"/>
          <w:color w:val="000000"/>
          <w:sz w:val="24"/>
          <w:szCs w:val="24"/>
          <w:rtl/>
        </w:rPr>
        <w:t>غیر مزدوج</w:t>
      </w:r>
      <w:r w:rsidRPr="008A6D9B">
        <w:rPr>
          <w:rFonts w:ascii="IRANSharp" w:eastAsia="Times New Roman" w:hAnsi="IRANSharp" w:cs="IRANSharp"/>
          <w:color w:val="000000"/>
          <w:sz w:val="24"/>
          <w:szCs w:val="24"/>
          <w:rtl/>
        </w:rPr>
        <w:t xml:space="preserve"> و فرزندان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و </w:t>
      </w:r>
      <w:r w:rsidR="00FD2D68" w:rsidRPr="008A6D9B">
        <w:rPr>
          <w:rFonts w:ascii="IRANSharp" w:eastAsia="Times New Roman" w:hAnsi="IRANSharp" w:cs="IRANSharp"/>
          <w:color w:val="000000"/>
          <w:sz w:val="24"/>
          <w:szCs w:val="24"/>
          <w:rtl/>
        </w:rPr>
        <w:t>تک والدها</w:t>
      </w:r>
      <w:r w:rsidRPr="008A6D9B">
        <w:rPr>
          <w:rFonts w:ascii="IRANSharp" w:eastAsia="Times New Roman" w:hAnsi="IRANSharp" w:cs="IRANSharp"/>
          <w:color w:val="000000"/>
          <w:sz w:val="24"/>
          <w:szCs w:val="24"/>
          <w:rtl/>
        </w:rPr>
        <w:t xml:space="preserve"> و فرزندان </w:t>
      </w:r>
      <w:r w:rsidR="00FD2D68" w:rsidRPr="008A6D9B">
        <w:rPr>
          <w:rFonts w:ascii="IRANSharp" w:eastAsia="Times New Roman" w:hAnsi="IRANSharp" w:cs="IRANSharp"/>
          <w:color w:val="000000"/>
          <w:sz w:val="24"/>
          <w:szCs w:val="24"/>
          <w:rtl/>
        </w:rPr>
        <w:t>آن‌ها</w:t>
      </w:r>
      <w:r w:rsidRPr="008A6D9B">
        <w:rPr>
          <w:rFonts w:ascii="IRANSharp" w:eastAsia="Times New Roman" w:hAnsi="IRANSharp" w:cs="IRANSharp"/>
          <w:color w:val="000000"/>
          <w:sz w:val="24"/>
          <w:szCs w:val="24"/>
          <w:rtl/>
        </w:rPr>
        <w:t xml:space="preserve"> را بپذیریم و از برخورد مساوی با زنان در این شرایط اطمینان یابیم.</w:t>
      </w:r>
      <w:r w:rsidRPr="008A6D9B">
        <w:rPr>
          <w:rFonts w:ascii="IRANSharp" w:eastAsia="Times New Roman" w:hAnsi="IRANSharp" w:cs="IRANSharp"/>
          <w:color w:val="000000"/>
          <w:sz w:val="24"/>
          <w:szCs w:val="24"/>
          <w:vertAlign w:val="superscript"/>
        </w:rPr>
        <w:footnoteReference w:id="4"/>
      </w:r>
      <w:r w:rsidRPr="008A6D9B">
        <w:rPr>
          <w:rFonts w:ascii="IRANSharp" w:eastAsia="Times New Roman" w:hAnsi="IRANSharp" w:cs="IRANSharp"/>
          <w:color w:val="000000"/>
          <w:sz w:val="24"/>
          <w:szCs w:val="24"/>
          <w:rtl/>
        </w:rPr>
        <w:t xml:space="preserve"> خانواده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00FD2D68" w:rsidRPr="008A6D9B">
        <w:rPr>
          <w:rFonts w:ascii="IRANSharp" w:eastAsia="Times New Roman" w:hAnsi="IRANSharp" w:cs="IRANSharp"/>
          <w:color w:val="000000"/>
          <w:sz w:val="24"/>
          <w:szCs w:val="24"/>
          <w:rtl/>
        </w:rPr>
        <w:t>تک والدی</w:t>
      </w:r>
      <w:r w:rsidRPr="008A6D9B">
        <w:rPr>
          <w:rFonts w:ascii="IRANSharp" w:eastAsia="Times New Roman" w:hAnsi="IRANSharp" w:cs="IRANSharp"/>
          <w:color w:val="000000"/>
          <w:sz w:val="24"/>
          <w:szCs w:val="24"/>
          <w:rtl/>
        </w:rPr>
        <w:t xml:space="preserve"> غالباً شامل یک زن مجرد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که از یک یا چند فرزند مراقبت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کند و کشورهای عضو باید شرح دهند که چه اقداماتی برای حمایت از این افراد انجام داده‌اند تا به </w:t>
      </w:r>
      <w:r w:rsidR="00FD2D68" w:rsidRPr="008A6D9B">
        <w:rPr>
          <w:rFonts w:ascii="IRANSharp" w:eastAsia="Times New Roman" w:hAnsi="IRANSharp" w:cs="IRANSharp"/>
          <w:color w:val="000000"/>
          <w:sz w:val="24"/>
          <w:szCs w:val="24"/>
          <w:rtl/>
        </w:rPr>
        <w:t>همان‌گونه</w:t>
      </w:r>
      <w:r w:rsidRPr="008A6D9B">
        <w:rPr>
          <w:rFonts w:ascii="IRANSharp" w:eastAsia="Times New Roman" w:hAnsi="IRANSharp" w:cs="IRANSharp"/>
          <w:color w:val="000000"/>
          <w:sz w:val="24"/>
          <w:szCs w:val="24"/>
          <w:rtl/>
        </w:rPr>
        <w:t xml:space="preserve"> که مردی در شرایط مشابه عمل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کند، ایشان نیز قادر باشند به مسئولیت خود به عنوان سرپرست خانواده عمل کنند.</w:t>
      </w:r>
    </w:p>
    <w:p w14:paraId="1B636A25"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۲۸. مسئولیت کشورها برای محافظت از کودکان (مادۀ ۲۴) باید برای دختران و پسران به طور یکسان اجرا شود. کشورها باید دربارۀ اقداماتی که برای کسب اطمینان از برابری دختران و پسران در امر آموزش، مسائل احساسی و مراقبت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بهداشتی انجام داده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اند،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گزارش دهند و اطلاعات مشروحی در این زمینه برای این کمیته تهیه کنند. کشورها باید هم از طریق گذراندن لوایح قانونی و هم از طریق اقدامات مناسب دیگر، همۀ </w:t>
      </w:r>
      <w:r w:rsidR="00FD2D68" w:rsidRPr="008A6D9B">
        <w:rPr>
          <w:rFonts w:ascii="IRANSharp" w:eastAsia="Times New Roman" w:hAnsi="IRANSharp" w:cs="IRANSharp"/>
          <w:color w:val="000000"/>
          <w:sz w:val="24"/>
          <w:szCs w:val="24"/>
          <w:rtl/>
        </w:rPr>
        <w:t>آداب‌ورسوم</w:t>
      </w:r>
      <w:r w:rsidRPr="008A6D9B">
        <w:rPr>
          <w:rFonts w:ascii="IRANSharp" w:eastAsia="Times New Roman" w:hAnsi="IRANSharp" w:cs="IRANSharp"/>
          <w:color w:val="000000"/>
          <w:sz w:val="24"/>
          <w:szCs w:val="24"/>
          <w:rtl/>
        </w:rPr>
        <w:t xml:space="preserve"> فرهنگی و مذهبی را که </w:t>
      </w:r>
      <w:r w:rsidR="00FD2D68" w:rsidRPr="008A6D9B">
        <w:rPr>
          <w:rFonts w:ascii="IRANSharp" w:eastAsia="Times New Roman" w:hAnsi="IRANSharp" w:cs="IRANSharp"/>
          <w:color w:val="000000"/>
          <w:sz w:val="24"/>
          <w:szCs w:val="24"/>
          <w:rtl/>
        </w:rPr>
        <w:t>مخل‌</w:t>
      </w:r>
      <w:r w:rsidRPr="008A6D9B">
        <w:rPr>
          <w:rFonts w:ascii="IRANSharp" w:eastAsia="Times New Roman" w:hAnsi="IRANSharp" w:cs="IRANSharp"/>
          <w:color w:val="000000"/>
          <w:sz w:val="24"/>
          <w:szCs w:val="24"/>
          <w:rtl/>
        </w:rPr>
        <w:t xml:space="preserve"> آزادی و رفاه کودکان دختر است، ریشه‌کن کنند.</w:t>
      </w:r>
    </w:p>
    <w:p w14:paraId="4FEBE0C3"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 xml:space="preserve">۲۹. حق شرکت در ادارۀ امور عمومی جامعه در همه‌جا کاملاً به طور مساوی به اجرا </w:t>
      </w:r>
      <w:r w:rsidR="00FD2D68" w:rsidRPr="008A6D9B">
        <w:rPr>
          <w:rFonts w:ascii="IRANSharp" w:eastAsia="Times New Roman" w:hAnsi="IRANSharp" w:cs="IRANSharp"/>
          <w:color w:val="000000"/>
          <w:sz w:val="24"/>
          <w:szCs w:val="24"/>
          <w:rtl/>
        </w:rPr>
        <w:t>درنمی‌آید</w:t>
      </w:r>
      <w:r w:rsidRPr="008A6D9B">
        <w:rPr>
          <w:rFonts w:ascii="IRANSharp" w:eastAsia="Times New Roman" w:hAnsi="IRANSharp" w:cs="IRANSharp"/>
          <w:color w:val="000000"/>
          <w:sz w:val="24"/>
          <w:szCs w:val="24"/>
          <w:rtl/>
        </w:rPr>
        <w:t>. کشورها باید اطمینان یابند که قانون، حقوق مندرج در مادۀ ۲۵ را برای زنان نیز با شرایطی مساوی با مردان تضمین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کند و در جهت ارتقا و اطمینان از مشارکت زنان در ادارۀ امور عمومی و مناصب دولتی ازجمله بذل توجه خاص و مناسب به ایشان، اقدامات مؤثر و مثبتی انجام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دهد. اقدامات مثبت انجام‌شده توسط دولت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عضو برای کسب اطمینان از اینکه تمامی افرادی که مجاز به </w:t>
      </w:r>
      <w:r w:rsidR="00FD2D68" w:rsidRPr="008A6D9B">
        <w:rPr>
          <w:rFonts w:ascii="IRANSharp" w:eastAsia="Times New Roman" w:hAnsi="IRANSharp" w:cs="IRANSharp"/>
          <w:color w:val="000000"/>
          <w:sz w:val="24"/>
          <w:szCs w:val="24"/>
          <w:rtl/>
        </w:rPr>
        <w:t>رأی دادن</w:t>
      </w:r>
      <w:r w:rsidRPr="008A6D9B">
        <w:rPr>
          <w:rFonts w:ascii="IRANSharp" w:eastAsia="Times New Roman" w:hAnsi="IRANSharp" w:cs="IRANSharp"/>
          <w:color w:val="000000"/>
          <w:sz w:val="24"/>
          <w:szCs w:val="24"/>
          <w:rtl/>
        </w:rPr>
        <w:t xml:space="preserve"> هستند قادرند از این حق برخوردار باشند یا خیر، نباید به دلایل مربوط به جنسیت جنبۀ تبعیض‌آمیز داشته باشد. این کمیته از کشورهای عضو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خواهد </w:t>
      </w:r>
      <w:r w:rsidR="00FD2D68" w:rsidRPr="008A6D9B">
        <w:rPr>
          <w:rFonts w:ascii="IRANSharp" w:eastAsia="Times New Roman" w:hAnsi="IRANSharp" w:cs="IRANSharp"/>
          <w:color w:val="000000"/>
          <w:sz w:val="24"/>
          <w:szCs w:val="24"/>
          <w:rtl/>
        </w:rPr>
        <w:t>درزمینۀ</w:t>
      </w:r>
      <w:r w:rsidRPr="008A6D9B">
        <w:rPr>
          <w:rFonts w:ascii="IRANSharp" w:eastAsia="Times New Roman" w:hAnsi="IRANSharp" w:cs="IRANSharp"/>
          <w:color w:val="000000"/>
          <w:sz w:val="24"/>
          <w:szCs w:val="24"/>
          <w:rtl/>
        </w:rPr>
        <w:t xml:space="preserve"> درصد زنان موجود در مناصب دولتی انتخابی ازجمله سمت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قانون‌گذاری و نیز خدمات عالی‌رتبۀ مدنی و قوۀ قضائیه، آماری تهیه کنند.</w:t>
      </w:r>
    </w:p>
    <w:p w14:paraId="271A7215"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۳۰. تبعیض علیه زنان اغلب با تبعیض</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دیگر از قبیل نژاد، رنگ، زبان، مذهب، سیاست یا اعتقادات دیگر، تبعیض ملی یا منشأ اجتماعی، وضعیت دارایی، تولد یا موقعیت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دیگر شخص در هم تنیده شده است. کشورهای عضو باید روش‌هایی را که هر مورد تبعیض به دلایل دیگر </w:t>
      </w:r>
      <w:r w:rsidR="00FD2D68" w:rsidRPr="008A6D9B">
        <w:rPr>
          <w:rFonts w:ascii="IRANSharp" w:eastAsia="Times New Roman" w:hAnsi="IRANSharp" w:cs="IRANSharp"/>
          <w:color w:val="000000"/>
          <w:sz w:val="24"/>
          <w:szCs w:val="24"/>
          <w:rtl/>
        </w:rPr>
        <w:t>به‌گونه‌ای</w:t>
      </w:r>
      <w:r w:rsidRPr="008A6D9B">
        <w:rPr>
          <w:rFonts w:ascii="IRANSharp" w:eastAsia="Times New Roman" w:hAnsi="IRANSharp" w:cs="IRANSharp"/>
          <w:color w:val="000000"/>
          <w:sz w:val="24"/>
          <w:szCs w:val="24"/>
          <w:rtl/>
        </w:rPr>
        <w:t xml:space="preserve"> خاص روی زنان تأثیر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گذارد، مطرح کرده و اطلاعاتی دربارۀ اقدامات انجام‌شده برای مقابله با آن تأثیرات را در [گزارش خود] قید کنند.</w:t>
      </w:r>
    </w:p>
    <w:p w14:paraId="3C974FEB"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۳۱. حق برابری در مقابل قانون و عدم تبعیض که در مادۀ ۲۶ حمایت شده است، از کشورها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خواهد </w:t>
      </w:r>
      <w:r w:rsidR="00FD2D68" w:rsidRPr="008A6D9B">
        <w:rPr>
          <w:rFonts w:ascii="IRANSharp" w:eastAsia="Times New Roman" w:hAnsi="IRANSharp" w:cs="IRANSharp"/>
          <w:color w:val="000000"/>
          <w:sz w:val="24"/>
          <w:szCs w:val="24"/>
          <w:rtl/>
        </w:rPr>
        <w:t>به‌وسیلۀ</w:t>
      </w:r>
      <w:r w:rsidRPr="008A6D9B">
        <w:rPr>
          <w:rFonts w:ascii="IRANSharp" w:eastAsia="Times New Roman" w:hAnsi="IRANSharp" w:cs="IRANSharp"/>
          <w:color w:val="000000"/>
          <w:sz w:val="24"/>
          <w:szCs w:val="24"/>
          <w:rtl/>
        </w:rPr>
        <w:t xml:space="preserve"> نهادهای دولتی و خصوصی در تمام زمینه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با تبعیض مبارزه کنند. تبعیض علیه زنان در این زمینه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ناقض مادۀ 26 ات: قوانین امنیت اجتماعی، پروندۀ ۸۴/۱۷۲ بروکس </w:t>
      </w:r>
      <w:r w:rsidRPr="008A6D9B">
        <w:rPr>
          <w:rFonts w:ascii="IRANSharp" w:eastAsia="Times New Roman" w:hAnsi="IRANSharp" w:cs="IRANSharp"/>
          <w:color w:val="000000"/>
          <w:sz w:val="24"/>
          <w:szCs w:val="24"/>
          <w:rtl/>
        </w:rPr>
        <w:lastRenderedPageBreak/>
        <w:t xml:space="preserve">علیه هلند (نظرات مطرح‌شده در ۹ آوریل ۱۹۸۷)؛ پروندۀ ۱۹۸۶/۲۱۸ ووس علیه هلند (نظرات ۲۹ مارس ۱۹۸۹) </w:t>
      </w:r>
      <w:r w:rsidR="00017356" w:rsidRPr="008A6D9B">
        <w:rPr>
          <w:rFonts w:ascii="IRANSharp" w:eastAsia="Times New Roman" w:hAnsi="IRANSharp" w:cs="IRANSharp"/>
          <w:color w:val="000000"/>
          <w:sz w:val="24"/>
          <w:szCs w:val="24"/>
          <w:rtl/>
        </w:rPr>
        <w:t>به‌علاوۀ</w:t>
      </w:r>
      <w:r w:rsidRPr="008A6D9B">
        <w:rPr>
          <w:rFonts w:ascii="IRANSharp" w:eastAsia="Times New Roman" w:hAnsi="IRANSharp" w:cs="IRANSharp"/>
          <w:color w:val="000000"/>
          <w:sz w:val="24"/>
          <w:szCs w:val="24"/>
          <w:rtl/>
        </w:rPr>
        <w:t xml:space="preserve"> موارد مربوط به تابعیت و حقوق افراد </w:t>
      </w:r>
      <w:r w:rsidR="00017356" w:rsidRPr="008A6D9B">
        <w:rPr>
          <w:rFonts w:ascii="IRANSharp" w:eastAsia="Times New Roman" w:hAnsi="IRANSharp" w:cs="IRANSharp"/>
          <w:color w:val="000000"/>
          <w:sz w:val="24"/>
          <w:szCs w:val="24"/>
          <w:rtl/>
        </w:rPr>
        <w:t>غیر تبعه</w:t>
      </w:r>
      <w:r w:rsidRPr="008A6D9B">
        <w:rPr>
          <w:rFonts w:ascii="IRANSharp" w:eastAsia="Times New Roman" w:hAnsi="IRANSharp" w:cs="IRANSharp"/>
          <w:color w:val="000000"/>
          <w:sz w:val="24"/>
          <w:szCs w:val="24"/>
          <w:rtl/>
        </w:rPr>
        <w:t xml:space="preserve"> در کشور؛ پروندۀ ۱۹۷۸/۰۳۵، آومیرودی چیفرا و همکاران علیه موریتانی (نظرات اتخاذشده در ۹ آوریل ۱۹۸۱). ارتکاب جنایات به اصطلاح ناموسی که بدون مجازات باقی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ماند، یکی از جدی‌ترین موارد نقض این میثاق به ویژه در ماده‌های ۶، ۱۴ و ۲۶ است. قوانینی که دربارۀ زنا و تخلفات دیگر، مجازات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شدیدتری را برای زنان در نظر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گیرد تا برای مردان هم، شرط نحوۀ برخورد مساوی را نقض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کند. این کمیته همچنین اغلب، در بررسی گزارش</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کشورها مشاهده کرده است که بخش بزرگی از زنان در مشاغلی استخدام شده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اند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که تحت محافظت قوانین کار قرار ندارند و رسوم و سنن حاکم بر جامعه، علیه زنان تبعیض قائل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شود؛ به ویژه در ارتباط با امکان اشتغال به کارهایی با حقوق بهتر و دریافت حقوق مساوی در برابر انجام کاری که ارزش مساوی دارد. کشورها باید قوانین و روال</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مرسوم خود را بازبینی کنند و در به اجرا درآوردن تمامی اقدامات لازم به منظور </w:t>
      </w:r>
      <w:r w:rsidR="00FD2D68" w:rsidRPr="008A6D9B">
        <w:rPr>
          <w:rFonts w:ascii="IRANSharp" w:eastAsia="Times New Roman" w:hAnsi="IRANSharp" w:cs="IRANSharp"/>
          <w:color w:val="000000"/>
          <w:sz w:val="24"/>
          <w:szCs w:val="24"/>
          <w:rtl/>
        </w:rPr>
        <w:t>ریشه‌کن کردن</w:t>
      </w:r>
      <w:r w:rsidRPr="008A6D9B">
        <w:rPr>
          <w:rFonts w:ascii="IRANSharp" w:eastAsia="Times New Roman" w:hAnsi="IRANSharp" w:cs="IRANSharp"/>
          <w:color w:val="000000"/>
          <w:sz w:val="24"/>
          <w:szCs w:val="24"/>
          <w:rtl/>
        </w:rPr>
        <w:t xml:space="preserve"> تبعیض علیه زنان در تمام زمینه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پیشی گیرند؛ برای مثال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توان مقابله با تبعیض اِعمال‌شده توسط عاملان خصوصی در زمینه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از قبیل استخدام، آموزش، فعالیت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سیاسی و تهیۀ مسکن، کالا و خدمات را نام برد. کشورهای عضو باید دربارۀ تمامی این اقدامات گزارش تهیه کنند و دربارۀ جبران خسارت به قربانیان چنین تبعیض</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اطلاعاتی ارائه کنند.</w:t>
      </w:r>
    </w:p>
    <w:p w14:paraId="13E1BE5E" w14:textId="77777777" w:rsidR="000E1C7A" w:rsidRPr="008A6D9B" w:rsidRDefault="000E1C7A" w:rsidP="008A6D9B">
      <w:pPr>
        <w:pStyle w:val="NoSpacing"/>
        <w:bidi/>
        <w:jc w:val="both"/>
        <w:rPr>
          <w:rFonts w:ascii="IRANSharp" w:eastAsia="Times New Roman" w:hAnsi="IRANSharp" w:cs="IRANSharp"/>
          <w:color w:val="000000"/>
          <w:sz w:val="24"/>
          <w:szCs w:val="24"/>
        </w:rPr>
      </w:pPr>
      <w:r w:rsidRPr="008A6D9B">
        <w:rPr>
          <w:rFonts w:ascii="IRANSharp" w:eastAsia="Times New Roman" w:hAnsi="IRANSharp" w:cs="IRANSharp"/>
          <w:color w:val="000000"/>
          <w:sz w:val="24"/>
          <w:szCs w:val="24"/>
          <w:rtl/>
        </w:rPr>
        <w:t>۳۲. حقوقی که افراد متعلق به اقلیت</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بر طبق مادۀ ۲۷ میثاق در ارتباط با زبان، فرهنگ و مذهب خود از آن بهره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مند</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 هستند، هیچ کشور و گروه یا شخصی را مجاز نمی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سازد تا حق بهره</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مند</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ی مساوی زنان از حقوق مندرج در میثاق، ازجمله داشتن حق مساوی از جهت محافظت توسط قانون را نقض کند. کشورها باید هرگونه روال قانونی یا اداری مربوط به عضویت در یک جامعۀ اقلیت که ممکن است سبب تخطی از حقوق مساوی زنان بر اساس این میثاق گردد مانند پروندۀ ۱۹۷۷/۲۴ لاولیس علیه کانادا (نظرات اتخاذ‌شده در ژوئیه ۱۹۸۱) و همچنین دربارۀ اقدامات انجام‌شده یا پیش‌بینی‌شده برای تضمین تساوی حقوق مردان و زنان برای برخورداری از همۀ حقوق مدنی و سیاسی مندرج در میثاق را گزارش دهند. همچنین، کشورها باید دربارۀ اقدامات انجام‌شده برای اجرای مسئولیت‌هایشان در ارتباط با روال</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 xml:space="preserve">های </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مرسوم فرهنگی یا مذهبی در میان جوامع اقلیت که بر حقوق زنان تأثیر می</w:t>
      </w:r>
      <w:r w:rsidRPr="008A6D9B">
        <w:rPr>
          <w:rFonts w:ascii="Arial" w:eastAsia="Times New Roman" w:hAnsi="Arial" w:cs="Arial" w:hint="cs"/>
          <w:color w:val="000000"/>
          <w:sz w:val="24"/>
          <w:szCs w:val="24"/>
          <w:rtl/>
        </w:rPr>
        <w:t>‏</w:t>
      </w:r>
      <w:r w:rsidRPr="008A6D9B">
        <w:rPr>
          <w:rFonts w:ascii="IRANSharp" w:eastAsia="Times New Roman" w:hAnsi="IRANSharp" w:cs="IRANSharp"/>
          <w:color w:val="000000"/>
          <w:sz w:val="24"/>
          <w:szCs w:val="24"/>
          <w:rtl/>
        </w:rPr>
        <w:t>گذارد، گزارش دهند. کشورهای عضو در گزارش خود باید به مشارکتی که زنان در حیات فرهنگی جوامع خود دارند، توجه کنند.</w:t>
      </w:r>
      <w:r w:rsidRPr="008A6D9B">
        <w:rPr>
          <w:rStyle w:val="FootnoteReference"/>
          <w:rFonts w:ascii="IRANSharp" w:eastAsia="Times New Roman" w:hAnsi="IRANSharp" w:cs="IRANSharp"/>
          <w:color w:val="000000"/>
          <w:sz w:val="24"/>
          <w:szCs w:val="24"/>
          <w:rtl/>
        </w:rPr>
        <w:footnoteReference w:id="5"/>
      </w:r>
    </w:p>
    <w:p w14:paraId="5650E760" w14:textId="77777777" w:rsidR="000E1C7A" w:rsidRPr="008A6D9B" w:rsidRDefault="000E1C7A" w:rsidP="008A6D9B">
      <w:pPr>
        <w:pStyle w:val="NoSpacing"/>
        <w:bidi/>
        <w:jc w:val="both"/>
        <w:rPr>
          <w:rFonts w:ascii="IRANSharp" w:eastAsia="Times New Roman" w:hAnsi="IRANSharp" w:cs="IRANSharp"/>
          <w:color w:val="000000"/>
          <w:sz w:val="24"/>
          <w:szCs w:val="24"/>
        </w:rPr>
      </w:pPr>
    </w:p>
    <w:p w14:paraId="78C935CC" w14:textId="77777777" w:rsidR="00AC2913" w:rsidRPr="008A6D9B" w:rsidRDefault="00AC2913" w:rsidP="008A6D9B">
      <w:pPr>
        <w:pStyle w:val="NoSpacing"/>
        <w:jc w:val="both"/>
        <w:rPr>
          <w:rFonts w:ascii="IRANSharp" w:hAnsi="IRANSharp" w:cs="IRANSharp"/>
          <w:sz w:val="24"/>
          <w:szCs w:val="24"/>
        </w:rPr>
      </w:pPr>
    </w:p>
    <w:sectPr w:rsidR="00AC2913" w:rsidRPr="008A6D9B" w:rsidSect="000E1C7A">
      <w:headerReference w:type="even" r:id="rId7"/>
      <w:headerReference w:type="default" r:id="rId8"/>
      <w:footerReference w:type="default" r:id="rId9"/>
      <w:head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2BFC5" w14:textId="77777777" w:rsidR="00A46666" w:rsidRDefault="00A46666" w:rsidP="000E1C7A">
      <w:r>
        <w:separator/>
      </w:r>
    </w:p>
  </w:endnote>
  <w:endnote w:type="continuationSeparator" w:id="0">
    <w:p w14:paraId="347021B6" w14:textId="77777777" w:rsidR="00A46666" w:rsidRDefault="00A46666" w:rsidP="000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0E1C7A" w14:paraId="5F2FB67D" w14:textId="77777777">
      <w:trPr>
        <w:trHeight w:val="151"/>
      </w:trPr>
      <w:tc>
        <w:tcPr>
          <w:tcW w:w="2250" w:type="pct"/>
          <w:tcBorders>
            <w:bottom w:val="single" w:sz="4" w:space="0" w:color="5B9BD5" w:themeColor="accent1"/>
          </w:tcBorders>
        </w:tcPr>
        <w:p w14:paraId="0F4F4475" w14:textId="77777777" w:rsidR="000E1C7A" w:rsidRDefault="000E1C7A" w:rsidP="000E1C7A">
          <w:pPr>
            <w:pStyle w:val="Header"/>
            <w:rPr>
              <w:rFonts w:asciiTheme="majorHAnsi" w:eastAsiaTheme="majorEastAsia" w:hAnsiTheme="majorHAnsi" w:cstheme="majorBidi"/>
              <w:b/>
              <w:bCs/>
            </w:rPr>
          </w:pPr>
        </w:p>
      </w:tc>
      <w:tc>
        <w:tcPr>
          <w:tcW w:w="500" w:type="pct"/>
          <w:vMerge w:val="restart"/>
          <w:noWrap/>
          <w:vAlign w:val="center"/>
        </w:tcPr>
        <w:p w14:paraId="6F020854" w14:textId="77777777" w:rsidR="000E1C7A" w:rsidRDefault="000E1C7A" w:rsidP="000E1C7A">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8A6D9B">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14:paraId="3C0677D3" w14:textId="77777777" w:rsidR="000E1C7A" w:rsidRDefault="000E1C7A" w:rsidP="000E1C7A">
          <w:pPr>
            <w:pStyle w:val="Header"/>
            <w:rPr>
              <w:rFonts w:asciiTheme="majorHAnsi" w:eastAsiaTheme="majorEastAsia" w:hAnsiTheme="majorHAnsi" w:cstheme="majorBidi"/>
              <w:b/>
              <w:bCs/>
            </w:rPr>
          </w:pPr>
        </w:p>
      </w:tc>
    </w:tr>
    <w:tr w:rsidR="000E1C7A" w14:paraId="0F5F3154" w14:textId="77777777">
      <w:trPr>
        <w:trHeight w:val="150"/>
      </w:trPr>
      <w:tc>
        <w:tcPr>
          <w:tcW w:w="2250" w:type="pct"/>
          <w:tcBorders>
            <w:top w:val="single" w:sz="4" w:space="0" w:color="5B9BD5" w:themeColor="accent1"/>
          </w:tcBorders>
        </w:tcPr>
        <w:p w14:paraId="4478B546" w14:textId="77777777" w:rsidR="000E1C7A" w:rsidRDefault="000E1C7A" w:rsidP="000E1C7A">
          <w:pPr>
            <w:pStyle w:val="Header"/>
            <w:rPr>
              <w:rFonts w:asciiTheme="majorHAnsi" w:eastAsiaTheme="majorEastAsia" w:hAnsiTheme="majorHAnsi" w:cstheme="majorBidi"/>
              <w:b/>
              <w:bCs/>
            </w:rPr>
          </w:pPr>
        </w:p>
      </w:tc>
      <w:tc>
        <w:tcPr>
          <w:tcW w:w="500" w:type="pct"/>
          <w:vMerge/>
        </w:tcPr>
        <w:p w14:paraId="65CF0C6E" w14:textId="77777777" w:rsidR="000E1C7A" w:rsidRDefault="000E1C7A" w:rsidP="000E1C7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31CB52C" w14:textId="77777777" w:rsidR="000E1C7A" w:rsidRDefault="000E1C7A" w:rsidP="000E1C7A">
          <w:pPr>
            <w:pStyle w:val="Header"/>
            <w:rPr>
              <w:rFonts w:asciiTheme="majorHAnsi" w:eastAsiaTheme="majorEastAsia" w:hAnsiTheme="majorHAnsi" w:cstheme="majorBidi"/>
              <w:b/>
              <w:bCs/>
            </w:rPr>
          </w:pPr>
        </w:p>
      </w:tc>
    </w:tr>
  </w:tbl>
  <w:p w14:paraId="51F41CE9" w14:textId="77777777" w:rsidR="000E1C7A" w:rsidRDefault="000E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D05F7" w14:textId="77777777" w:rsidR="00A46666" w:rsidRDefault="00A46666" w:rsidP="000E1C7A">
      <w:r>
        <w:separator/>
      </w:r>
    </w:p>
  </w:footnote>
  <w:footnote w:type="continuationSeparator" w:id="0">
    <w:p w14:paraId="2032B5E8" w14:textId="77777777" w:rsidR="00A46666" w:rsidRDefault="00A46666" w:rsidP="000E1C7A">
      <w:r>
        <w:continuationSeparator/>
      </w:r>
    </w:p>
  </w:footnote>
  <w:footnote w:id="1">
    <w:p w14:paraId="5A21D0D6" w14:textId="77777777" w:rsidR="000E1C7A" w:rsidRPr="000E1C7A" w:rsidRDefault="000E1C7A" w:rsidP="000E1C7A">
      <w:pPr>
        <w:pBdr>
          <w:top w:val="nil"/>
          <w:left w:val="nil"/>
          <w:bottom w:val="nil"/>
          <w:right w:val="nil"/>
          <w:between w:val="nil"/>
        </w:pBdr>
        <w:bidi/>
        <w:spacing w:line="276" w:lineRule="auto"/>
        <w:jc w:val="both"/>
        <w:rPr>
          <w:rFonts w:ascii="IRANSharp" w:eastAsia="Times New Roman" w:hAnsi="IRANSharp" w:cs="IRANSharp"/>
          <w:color w:val="000000"/>
          <w:sz w:val="16"/>
          <w:szCs w:val="16"/>
        </w:rPr>
      </w:pPr>
      <w:r w:rsidRPr="000E1C7A">
        <w:rPr>
          <w:rFonts w:ascii="IRANSharp" w:hAnsi="IRANSharp" w:cs="IRANSharp"/>
          <w:sz w:val="16"/>
          <w:szCs w:val="16"/>
          <w:vertAlign w:val="superscript"/>
        </w:rPr>
        <w:footnoteRef/>
      </w:r>
      <w:r w:rsidRPr="000E1C7A">
        <w:rPr>
          <w:rFonts w:ascii="IRANSharp" w:eastAsia="Times New Roman" w:hAnsi="IRANSharp" w:cs="IRANSharp"/>
          <w:color w:val="000000"/>
          <w:sz w:val="16"/>
          <w:szCs w:val="16"/>
          <w:rtl/>
        </w:rPr>
        <w:t>. نک: اظهارنظر عمومی شمارۀ ۸، پاراگراف</w:t>
      </w:r>
      <w:r w:rsidRPr="000E1C7A">
        <w:rPr>
          <w:rFonts w:ascii="Arial" w:eastAsia="Times New Roman" w:hAnsi="Arial" w:cs="Arial" w:hint="cs"/>
          <w:color w:val="000000"/>
          <w:sz w:val="16"/>
          <w:szCs w:val="16"/>
          <w:rtl/>
        </w:rPr>
        <w:t>‏</w:t>
      </w:r>
      <w:r w:rsidRPr="000E1C7A">
        <w:rPr>
          <w:rFonts w:ascii="IRANSharp" w:eastAsia="Times New Roman" w:hAnsi="IRANSharp" w:cs="IRANSharp"/>
          <w:color w:val="000000"/>
          <w:sz w:val="16"/>
          <w:szCs w:val="16"/>
          <w:rtl/>
        </w:rPr>
        <w:t xml:space="preserve"> </w:t>
      </w:r>
      <w:r w:rsidRPr="000E1C7A">
        <w:rPr>
          <w:rFonts w:ascii="IRANSharp" w:eastAsia="Times New Roman" w:hAnsi="IRANSharp" w:cs="IRANSharp" w:hint="cs"/>
          <w:color w:val="000000"/>
          <w:sz w:val="16"/>
          <w:szCs w:val="16"/>
          <w:rtl/>
        </w:rPr>
        <w:t>۱</w:t>
      </w:r>
      <w:r w:rsidRPr="000E1C7A">
        <w:rPr>
          <w:rFonts w:ascii="IRANSharp" w:eastAsia="Times New Roman" w:hAnsi="IRANSharp" w:cs="IRANSharp"/>
          <w:color w:val="000000"/>
          <w:sz w:val="16"/>
          <w:szCs w:val="16"/>
          <w:rtl/>
        </w:rPr>
        <w:t xml:space="preserve">. </w:t>
      </w:r>
    </w:p>
  </w:footnote>
  <w:footnote w:id="2">
    <w:p w14:paraId="5E559A27" w14:textId="77777777" w:rsidR="000E1C7A" w:rsidRPr="000E1C7A" w:rsidRDefault="000E1C7A" w:rsidP="000E1C7A">
      <w:pPr>
        <w:pBdr>
          <w:top w:val="nil"/>
          <w:left w:val="nil"/>
          <w:bottom w:val="nil"/>
          <w:right w:val="nil"/>
          <w:between w:val="nil"/>
        </w:pBdr>
        <w:bidi/>
        <w:spacing w:line="276" w:lineRule="auto"/>
        <w:jc w:val="both"/>
        <w:rPr>
          <w:rFonts w:ascii="IRANSharp" w:eastAsia="Times New Roman" w:hAnsi="IRANSharp" w:cs="IRANSharp"/>
          <w:color w:val="000000"/>
          <w:sz w:val="16"/>
          <w:szCs w:val="16"/>
        </w:rPr>
      </w:pPr>
      <w:r w:rsidRPr="000E1C7A">
        <w:rPr>
          <w:rFonts w:ascii="IRANSharp" w:hAnsi="IRANSharp" w:cs="IRANSharp"/>
          <w:sz w:val="16"/>
          <w:szCs w:val="16"/>
          <w:vertAlign w:val="superscript"/>
        </w:rPr>
        <w:footnoteRef/>
      </w:r>
      <w:r w:rsidRPr="000E1C7A">
        <w:rPr>
          <w:rFonts w:ascii="IRANSharp" w:eastAsia="Times New Roman" w:hAnsi="IRANSharp" w:cs="IRANSharp"/>
          <w:color w:val="000000"/>
          <w:sz w:val="16"/>
          <w:szCs w:val="16"/>
          <w:rtl/>
        </w:rPr>
        <w:t>. نک: اظهارنظر عمومی شمارۀ ۲۷، پاراگراف</w:t>
      </w:r>
      <w:r w:rsidRPr="000E1C7A">
        <w:rPr>
          <w:rFonts w:ascii="Arial" w:eastAsia="Times New Roman" w:hAnsi="Arial" w:cs="Arial" w:hint="cs"/>
          <w:color w:val="000000"/>
          <w:sz w:val="16"/>
          <w:szCs w:val="16"/>
          <w:rtl/>
        </w:rPr>
        <w:t>‏</w:t>
      </w:r>
      <w:r w:rsidRPr="000E1C7A">
        <w:rPr>
          <w:rFonts w:ascii="IRANSharp" w:eastAsia="Times New Roman" w:hAnsi="IRANSharp" w:cs="IRANSharp"/>
          <w:color w:val="000000"/>
          <w:sz w:val="16"/>
          <w:szCs w:val="16"/>
          <w:rtl/>
        </w:rPr>
        <w:t xml:space="preserve"> </w:t>
      </w:r>
      <w:r w:rsidRPr="000E1C7A">
        <w:rPr>
          <w:rFonts w:ascii="Arial" w:eastAsia="Times New Roman" w:hAnsi="Arial" w:cs="Arial" w:hint="cs"/>
          <w:color w:val="000000"/>
          <w:sz w:val="16"/>
          <w:szCs w:val="16"/>
          <w:rtl/>
        </w:rPr>
        <w:t>‏</w:t>
      </w:r>
      <w:r w:rsidRPr="000E1C7A">
        <w:rPr>
          <w:rFonts w:ascii="IRANSharp" w:eastAsia="Times New Roman" w:hAnsi="IRANSharp" w:cs="IRANSharp" w:hint="cs"/>
          <w:color w:val="000000"/>
          <w:sz w:val="16"/>
          <w:szCs w:val="16"/>
          <w:rtl/>
        </w:rPr>
        <w:t>۶</w:t>
      </w:r>
      <w:r w:rsidRPr="000E1C7A">
        <w:rPr>
          <w:rFonts w:ascii="IRANSharp" w:eastAsia="Times New Roman" w:hAnsi="IRANSharp" w:cs="IRANSharp"/>
          <w:color w:val="000000"/>
          <w:sz w:val="16"/>
          <w:szCs w:val="16"/>
          <w:rtl/>
        </w:rPr>
        <w:t xml:space="preserve"> </w:t>
      </w:r>
      <w:r w:rsidRPr="000E1C7A">
        <w:rPr>
          <w:rFonts w:ascii="IRANSharp" w:eastAsia="Times New Roman" w:hAnsi="IRANSharp" w:cs="IRANSharp" w:hint="cs"/>
          <w:color w:val="000000"/>
          <w:sz w:val="16"/>
          <w:szCs w:val="16"/>
          <w:rtl/>
        </w:rPr>
        <w:t>و</w:t>
      </w:r>
      <w:r w:rsidRPr="000E1C7A">
        <w:rPr>
          <w:rFonts w:ascii="IRANSharp" w:eastAsia="Times New Roman" w:hAnsi="IRANSharp" w:cs="IRANSharp"/>
          <w:color w:val="000000"/>
          <w:sz w:val="16"/>
          <w:szCs w:val="16"/>
          <w:rtl/>
        </w:rPr>
        <w:t xml:space="preserve"> </w:t>
      </w:r>
      <w:r w:rsidRPr="000E1C7A">
        <w:rPr>
          <w:rFonts w:ascii="IRANSharp" w:eastAsia="Times New Roman" w:hAnsi="IRANSharp" w:cs="IRANSharp" w:hint="cs"/>
          <w:color w:val="000000"/>
          <w:sz w:val="16"/>
          <w:szCs w:val="16"/>
          <w:rtl/>
        </w:rPr>
        <w:t>۱۸</w:t>
      </w:r>
      <w:r w:rsidRPr="000E1C7A">
        <w:rPr>
          <w:rFonts w:ascii="IRANSharp" w:eastAsia="Times New Roman" w:hAnsi="IRANSharp" w:cs="IRANSharp"/>
          <w:color w:val="000000"/>
          <w:sz w:val="16"/>
          <w:szCs w:val="16"/>
          <w:rtl/>
        </w:rPr>
        <w:t>.</w:t>
      </w:r>
    </w:p>
  </w:footnote>
  <w:footnote w:id="3">
    <w:p w14:paraId="1507A00A" w14:textId="77777777" w:rsidR="000E1C7A" w:rsidRPr="000E1C7A" w:rsidRDefault="000E1C7A" w:rsidP="000E1C7A">
      <w:pPr>
        <w:pBdr>
          <w:top w:val="nil"/>
          <w:left w:val="nil"/>
          <w:bottom w:val="nil"/>
          <w:right w:val="nil"/>
          <w:between w:val="nil"/>
        </w:pBdr>
        <w:bidi/>
        <w:rPr>
          <w:rFonts w:ascii="IRANSharp" w:hAnsi="IRANSharp" w:cs="IRANSharp"/>
          <w:color w:val="000000"/>
          <w:sz w:val="16"/>
          <w:szCs w:val="16"/>
        </w:rPr>
      </w:pPr>
      <w:r w:rsidRPr="000E1C7A">
        <w:rPr>
          <w:rFonts w:ascii="IRANSharp" w:hAnsi="IRANSharp" w:cs="IRANSharp"/>
          <w:sz w:val="16"/>
          <w:szCs w:val="16"/>
          <w:vertAlign w:val="superscript"/>
        </w:rPr>
        <w:footnoteRef/>
      </w:r>
      <w:r w:rsidRPr="000E1C7A">
        <w:rPr>
          <w:rFonts w:ascii="IRANSharp" w:hAnsi="IRANSharp" w:cs="IRANSharp"/>
          <w:color w:val="000000"/>
          <w:sz w:val="16"/>
          <w:szCs w:val="16"/>
          <w:rtl/>
        </w:rPr>
        <w:t>. پروندۀ ۱۹۸۶/۲۹۲ اتو دل اولانال علیه پرو، نظرات ۲۸ اکتبر ۱۹۸۸.</w:t>
      </w:r>
    </w:p>
  </w:footnote>
  <w:footnote w:id="4">
    <w:p w14:paraId="60935940" w14:textId="77777777" w:rsidR="000E1C7A" w:rsidRPr="000E1C7A" w:rsidRDefault="000E1C7A" w:rsidP="000E1C7A">
      <w:pPr>
        <w:pBdr>
          <w:top w:val="nil"/>
          <w:left w:val="nil"/>
          <w:bottom w:val="nil"/>
          <w:right w:val="nil"/>
          <w:between w:val="nil"/>
        </w:pBdr>
        <w:bidi/>
        <w:rPr>
          <w:rFonts w:ascii="IRANSharp" w:hAnsi="IRANSharp" w:cs="IRANSharp"/>
          <w:color w:val="000000"/>
          <w:sz w:val="16"/>
          <w:szCs w:val="16"/>
        </w:rPr>
      </w:pPr>
      <w:r w:rsidRPr="000E1C7A">
        <w:rPr>
          <w:rFonts w:ascii="IRANSharp" w:hAnsi="IRANSharp" w:cs="IRANSharp"/>
          <w:sz w:val="16"/>
          <w:szCs w:val="16"/>
          <w:vertAlign w:val="superscript"/>
        </w:rPr>
        <w:footnoteRef/>
      </w:r>
      <w:r w:rsidRPr="000E1C7A">
        <w:rPr>
          <w:rFonts w:ascii="IRANSharp" w:hAnsi="IRANSharp" w:cs="IRANSharp"/>
          <w:color w:val="000000"/>
          <w:sz w:val="16"/>
          <w:szCs w:val="16"/>
          <w:rtl/>
        </w:rPr>
        <w:t>. اظهارنظر عمومی شمارۀ ۱۹ پاراگراف ۲، جملۀ آخر.</w:t>
      </w:r>
    </w:p>
  </w:footnote>
  <w:footnote w:id="5">
    <w:p w14:paraId="0FD3E03E" w14:textId="77777777" w:rsidR="000E1C7A" w:rsidRPr="000E1C7A" w:rsidRDefault="000E1C7A" w:rsidP="000E1C7A">
      <w:pPr>
        <w:pStyle w:val="FootnoteText"/>
        <w:bidi/>
        <w:rPr>
          <w:rFonts w:ascii="IRANSharp" w:hAnsi="IRANSharp" w:cs="IRANSharp"/>
          <w:sz w:val="16"/>
          <w:szCs w:val="16"/>
          <w:rtl/>
          <w:lang w:bidi="fa-IR"/>
        </w:rPr>
      </w:pPr>
      <w:r w:rsidRPr="000E1C7A">
        <w:rPr>
          <w:rStyle w:val="FootnoteReference"/>
          <w:rFonts w:ascii="IRANSharp" w:hAnsi="IRANSharp" w:cs="IRANSharp"/>
          <w:sz w:val="16"/>
          <w:szCs w:val="16"/>
        </w:rPr>
        <w:footnoteRef/>
      </w:r>
      <w:r w:rsidRPr="000E1C7A">
        <w:rPr>
          <w:rFonts w:ascii="IRANSharp" w:hAnsi="IRANSharp" w:cs="IRANSharp"/>
          <w:sz w:val="16"/>
          <w:szCs w:val="16"/>
        </w:rPr>
        <w:t xml:space="preserve"> </w:t>
      </w:r>
      <w:r w:rsidRPr="000E1C7A">
        <w:rPr>
          <w:rFonts w:ascii="IRANSharp" w:hAnsi="IRANSharp" w:cs="IRANSharp"/>
          <w:color w:val="202124"/>
          <w:spacing w:val="2"/>
          <w:sz w:val="16"/>
          <w:szCs w:val="16"/>
          <w:shd w:val="clear" w:color="auto" w:fill="FFFFFF"/>
          <w:rtl/>
        </w:rPr>
        <w:t xml:space="preserve">لطفاً برای متن اصلی </w:t>
      </w:r>
      <w:hyperlink r:id="rId1" w:history="1">
        <w:r w:rsidRPr="000E1C7A">
          <w:rPr>
            <w:rStyle w:val="Hyperlink"/>
            <w:rFonts w:ascii="IRANSharp" w:hAnsi="IRANSharp" w:cs="IRANSharp"/>
            <w:spacing w:val="2"/>
            <w:sz w:val="16"/>
            <w:szCs w:val="16"/>
            <w:shd w:val="clear" w:color="auto" w:fill="FFFFFF"/>
            <w:rtl/>
          </w:rPr>
          <w:t>اینجا</w:t>
        </w:r>
      </w:hyperlink>
      <w:r w:rsidRPr="000E1C7A">
        <w:rPr>
          <w:rFonts w:ascii="IRANSharp" w:hAnsi="IRANSharp" w:cs="IRANSharp"/>
          <w:color w:val="202124"/>
          <w:spacing w:val="2"/>
          <w:sz w:val="16"/>
          <w:szCs w:val="16"/>
          <w:shd w:val="clear" w:color="auto" w:fill="FFFFFF"/>
          <w:rtl/>
        </w:rPr>
        <w:t xml:space="preserve"> را نگاه کنید</w:t>
      </w:r>
      <w:r w:rsidRPr="000E1C7A">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64E4" w14:textId="77777777" w:rsidR="000E1C7A" w:rsidRDefault="00A46666">
    <w:pPr>
      <w:pStyle w:val="Header"/>
    </w:pPr>
    <w:r>
      <w:rPr>
        <w:noProof/>
        <w:lang w:val="en-US"/>
      </w:rPr>
      <w:pict w14:anchorId="3C04B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98751" o:spid="_x0000_s2050" type="#_x0000_t75" style="position:absolute;margin-left:0;margin-top:0;width:451.3pt;height:396.7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01F6D59D1FA14E668124DA3521B90B63"/>
      </w:placeholder>
      <w:dataBinding w:prefixMappings="xmlns:ns0='http://schemas.openxmlformats.org/package/2006/metadata/core-properties' xmlns:ns1='http://purl.org/dc/elements/1.1/'" w:xpath="/ns0:coreProperties[1]/ns1:title[1]" w:storeItemID="{6C3C8BC8-F283-45AE-878A-BAB7291924A1}"/>
      <w:text/>
    </w:sdtPr>
    <w:sdtEndPr/>
    <w:sdtContent>
      <w:p w14:paraId="701068D0" w14:textId="77777777" w:rsidR="000E1C7A" w:rsidRPr="000E1C7A" w:rsidRDefault="000E1C7A" w:rsidP="000E1C7A">
        <w:pPr>
          <w:pStyle w:val="Header"/>
          <w:pBdr>
            <w:between w:val="single" w:sz="4" w:space="1" w:color="5B9BD5" w:themeColor="accent1"/>
          </w:pBdr>
          <w:bidi/>
          <w:spacing w:line="276" w:lineRule="auto"/>
          <w:rPr>
            <w:rFonts w:ascii="IRANSharp" w:hAnsi="IRANSharp" w:cs="IRANSharp"/>
            <w:sz w:val="16"/>
            <w:szCs w:val="16"/>
          </w:rPr>
        </w:pPr>
        <w:r w:rsidRPr="000E1C7A">
          <w:rPr>
            <w:rFonts w:ascii="IRANSharp" w:hAnsi="IRANSharp" w:cs="IRANSharp"/>
            <w:color w:val="202124"/>
            <w:spacing w:val="2"/>
            <w:sz w:val="16"/>
            <w:szCs w:val="16"/>
            <w:shd w:val="clear" w:color="auto" w:fill="FFFFFF"/>
            <w:rtl/>
          </w:rPr>
          <w:t>میثاق بین‌المللی حقوق مدنی و سیاسی</w:t>
        </w:r>
      </w:p>
    </w:sdtContent>
  </w:sdt>
  <w:sdt>
    <w:sdtPr>
      <w:rPr>
        <w:rFonts w:ascii="IRANSharp" w:hAnsi="IRANSharp" w:cs="IRANSharp"/>
        <w:sz w:val="16"/>
        <w:szCs w:val="16"/>
        <w:rtl/>
      </w:rPr>
      <w:alias w:val="Date"/>
      <w:id w:val="77547044"/>
      <w:placeholder>
        <w:docPart w:val="BA4C06FC730B4E9489D60CB1630E88D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091E441" w14:textId="77777777" w:rsidR="000E1C7A" w:rsidRPr="000E1C7A" w:rsidRDefault="000E1C7A" w:rsidP="000E1C7A">
        <w:pPr>
          <w:pStyle w:val="Header"/>
          <w:pBdr>
            <w:between w:val="single" w:sz="4" w:space="1" w:color="5B9BD5" w:themeColor="accent1"/>
          </w:pBdr>
          <w:bidi/>
          <w:spacing w:line="276" w:lineRule="auto"/>
          <w:rPr>
            <w:rFonts w:ascii="IRANSharp" w:hAnsi="IRANSharp" w:cs="IRANSharp"/>
            <w:sz w:val="16"/>
            <w:szCs w:val="16"/>
          </w:rPr>
        </w:pPr>
        <w:r w:rsidRPr="000E1C7A">
          <w:rPr>
            <w:rFonts w:ascii="IRANSharp" w:hAnsi="IRANSharp" w:cs="IRANSharp"/>
            <w:sz w:val="16"/>
            <w:szCs w:val="16"/>
            <w:rtl/>
          </w:rPr>
          <w:t>اظهارنظر عمومی 28</w:t>
        </w:r>
      </w:p>
    </w:sdtContent>
  </w:sdt>
  <w:p w14:paraId="37EE72A5" w14:textId="77777777" w:rsidR="000E1C7A" w:rsidRPr="000E1C7A" w:rsidRDefault="00A46666" w:rsidP="000E1C7A">
    <w:pPr>
      <w:pStyle w:val="Header"/>
      <w:bidi/>
      <w:rPr>
        <w:rFonts w:ascii="IRANSharp" w:hAnsi="IRANSharp" w:cs="IRANSharp"/>
        <w:sz w:val="16"/>
        <w:szCs w:val="16"/>
      </w:rPr>
    </w:pPr>
    <w:r>
      <w:rPr>
        <w:rFonts w:ascii="IRANSharp" w:hAnsi="IRANSharp" w:cs="IRANSharp"/>
        <w:noProof/>
        <w:sz w:val="16"/>
        <w:szCs w:val="16"/>
        <w:lang w:val="en-US"/>
      </w:rPr>
      <w:pict w14:anchorId="5369DF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98752"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CDAB" w14:textId="77777777" w:rsidR="000E1C7A" w:rsidRDefault="00A46666">
    <w:pPr>
      <w:pStyle w:val="Header"/>
    </w:pPr>
    <w:r>
      <w:rPr>
        <w:noProof/>
        <w:lang w:val="en-US"/>
      </w:rPr>
      <w:pict w14:anchorId="48B83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98750" o:spid="_x0000_s2049" type="#_x0000_t75" style="position:absolute;margin-left:0;margin-top:0;width:451.3pt;height:396.7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DE"/>
    <w:rsid w:val="00017356"/>
    <w:rsid w:val="000E1C7A"/>
    <w:rsid w:val="00320852"/>
    <w:rsid w:val="00334BDE"/>
    <w:rsid w:val="00546AC7"/>
    <w:rsid w:val="005F5CFC"/>
    <w:rsid w:val="008A6D9B"/>
    <w:rsid w:val="008C2E30"/>
    <w:rsid w:val="00A46666"/>
    <w:rsid w:val="00A8257E"/>
    <w:rsid w:val="00AC2913"/>
    <w:rsid w:val="00FD2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71CF643-A01C-4F77-B2E9-EF8FB9B1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1C7A"/>
    <w:pPr>
      <w:spacing w:after="0" w:line="240" w:lineRule="auto"/>
    </w:pPr>
    <w:rPr>
      <w:rFonts w:ascii="Calibri" w:eastAsia="Calibri" w:hAnsi="Calibri" w:cs="Calibri"/>
      <w:sz w:val="24"/>
      <w:szCs w:val="24"/>
      <w:lang w:val="en-GB"/>
    </w:rPr>
  </w:style>
  <w:style w:type="paragraph" w:styleId="Heading1">
    <w:name w:val="heading 1"/>
    <w:basedOn w:val="Normal"/>
    <w:next w:val="Normal"/>
    <w:link w:val="Heading1Char"/>
    <w:rsid w:val="000E1C7A"/>
    <w:pPr>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C7A"/>
    <w:rPr>
      <w:rFonts w:ascii="Times New Roman" w:eastAsia="Times New Roman" w:hAnsi="Times New Roman" w:cs="Times New Roman"/>
      <w:b/>
      <w:sz w:val="48"/>
      <w:szCs w:val="48"/>
      <w:lang w:val="en-GB"/>
    </w:rPr>
  </w:style>
  <w:style w:type="paragraph" w:styleId="Header">
    <w:name w:val="header"/>
    <w:basedOn w:val="Normal"/>
    <w:link w:val="HeaderChar"/>
    <w:uiPriority w:val="99"/>
    <w:unhideWhenUsed/>
    <w:rsid w:val="000E1C7A"/>
    <w:pPr>
      <w:tabs>
        <w:tab w:val="center" w:pos="4680"/>
        <w:tab w:val="right" w:pos="9360"/>
      </w:tabs>
    </w:pPr>
  </w:style>
  <w:style w:type="character" w:customStyle="1" w:styleId="HeaderChar">
    <w:name w:val="Header Char"/>
    <w:basedOn w:val="DefaultParagraphFont"/>
    <w:link w:val="Header"/>
    <w:uiPriority w:val="99"/>
    <w:rsid w:val="000E1C7A"/>
    <w:rPr>
      <w:rFonts w:ascii="Calibri" w:eastAsia="Calibri" w:hAnsi="Calibri" w:cs="Calibri"/>
      <w:sz w:val="24"/>
      <w:szCs w:val="24"/>
      <w:lang w:val="en-GB"/>
    </w:rPr>
  </w:style>
  <w:style w:type="paragraph" w:styleId="Footer">
    <w:name w:val="footer"/>
    <w:basedOn w:val="Normal"/>
    <w:link w:val="FooterChar"/>
    <w:uiPriority w:val="99"/>
    <w:unhideWhenUsed/>
    <w:rsid w:val="000E1C7A"/>
    <w:pPr>
      <w:tabs>
        <w:tab w:val="center" w:pos="4680"/>
        <w:tab w:val="right" w:pos="9360"/>
      </w:tabs>
    </w:pPr>
  </w:style>
  <w:style w:type="character" w:customStyle="1" w:styleId="FooterChar">
    <w:name w:val="Footer Char"/>
    <w:basedOn w:val="DefaultParagraphFont"/>
    <w:link w:val="Footer"/>
    <w:uiPriority w:val="99"/>
    <w:rsid w:val="000E1C7A"/>
    <w:rPr>
      <w:rFonts w:ascii="Calibri" w:eastAsia="Calibri" w:hAnsi="Calibri" w:cs="Calibri"/>
      <w:sz w:val="24"/>
      <w:szCs w:val="24"/>
      <w:lang w:val="en-GB"/>
    </w:rPr>
  </w:style>
  <w:style w:type="paragraph" w:styleId="FootnoteText">
    <w:name w:val="footnote text"/>
    <w:basedOn w:val="Normal"/>
    <w:link w:val="FootnoteTextChar"/>
    <w:uiPriority w:val="99"/>
    <w:semiHidden/>
    <w:unhideWhenUsed/>
    <w:rsid w:val="000E1C7A"/>
    <w:rPr>
      <w:sz w:val="20"/>
      <w:szCs w:val="20"/>
    </w:rPr>
  </w:style>
  <w:style w:type="character" w:customStyle="1" w:styleId="FootnoteTextChar">
    <w:name w:val="Footnote Text Char"/>
    <w:basedOn w:val="DefaultParagraphFont"/>
    <w:link w:val="FootnoteText"/>
    <w:uiPriority w:val="99"/>
    <w:semiHidden/>
    <w:rsid w:val="000E1C7A"/>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0E1C7A"/>
    <w:rPr>
      <w:vertAlign w:val="superscript"/>
    </w:rPr>
  </w:style>
  <w:style w:type="character" w:styleId="Hyperlink">
    <w:name w:val="Hyperlink"/>
    <w:basedOn w:val="DefaultParagraphFont"/>
    <w:uiPriority w:val="99"/>
    <w:unhideWhenUsed/>
    <w:rsid w:val="000E1C7A"/>
    <w:rPr>
      <w:color w:val="0563C1" w:themeColor="hyperlink"/>
      <w:u w:val="single"/>
    </w:rPr>
  </w:style>
  <w:style w:type="paragraph" w:styleId="NoSpacing">
    <w:name w:val="No Spacing"/>
    <w:link w:val="NoSpacingChar"/>
    <w:uiPriority w:val="1"/>
    <w:qFormat/>
    <w:rsid w:val="000E1C7A"/>
    <w:pPr>
      <w:spacing w:after="0" w:line="240" w:lineRule="auto"/>
    </w:pPr>
    <w:rPr>
      <w:rFonts w:eastAsiaTheme="minorEastAsia"/>
    </w:rPr>
  </w:style>
  <w:style w:type="character" w:customStyle="1" w:styleId="NoSpacingChar">
    <w:name w:val="No Spacing Char"/>
    <w:basedOn w:val="DefaultParagraphFont"/>
    <w:link w:val="NoSpacing"/>
    <w:uiPriority w:val="1"/>
    <w:rsid w:val="000E1C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CPR%2fC%2f21%2fRev.1%2fAdd.10&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F6D59D1FA14E668124DA3521B90B63"/>
        <w:category>
          <w:name w:val="General"/>
          <w:gallery w:val="placeholder"/>
        </w:category>
        <w:types>
          <w:type w:val="bbPlcHdr"/>
        </w:types>
        <w:behaviors>
          <w:behavior w:val="content"/>
        </w:behaviors>
        <w:guid w:val="{1F81A213-83BB-4844-A0E1-76F862C8E604}"/>
      </w:docPartPr>
      <w:docPartBody>
        <w:p w:rsidR="00F77011" w:rsidRDefault="00F77011" w:rsidP="00F77011">
          <w:pPr>
            <w:pStyle w:val="01F6D59D1FA14E668124DA3521B90B63"/>
          </w:pPr>
          <w:r>
            <w:t>[Type the document title]</w:t>
          </w:r>
        </w:p>
      </w:docPartBody>
    </w:docPart>
    <w:docPart>
      <w:docPartPr>
        <w:name w:val="BA4C06FC730B4E9489D60CB1630E88DF"/>
        <w:category>
          <w:name w:val="General"/>
          <w:gallery w:val="placeholder"/>
        </w:category>
        <w:types>
          <w:type w:val="bbPlcHdr"/>
        </w:types>
        <w:behaviors>
          <w:behavior w:val="content"/>
        </w:behaviors>
        <w:guid w:val="{30833D39-78D9-404D-B571-D72AEFA29F61}"/>
      </w:docPartPr>
      <w:docPartBody>
        <w:p w:rsidR="00F77011" w:rsidRDefault="00F77011" w:rsidP="00F77011">
          <w:pPr>
            <w:pStyle w:val="BA4C06FC730B4E9489D60CB1630E88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harp">
    <w:panose1 w:val="020B0606030804020204"/>
    <w:charset w:val="00"/>
    <w:family w:val="swiss"/>
    <w:pitch w:val="variable"/>
    <w:sig w:usb0="8000202F" w:usb1="8000200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11"/>
    <w:rsid w:val="00F0084C"/>
    <w:rsid w:val="00F77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F6D59D1FA14E668124DA3521B90B63">
    <w:name w:val="01F6D59D1FA14E668124DA3521B90B63"/>
    <w:rsid w:val="00F77011"/>
  </w:style>
  <w:style w:type="paragraph" w:customStyle="1" w:styleId="BA4C06FC730B4E9489D60CB1630E88DF">
    <w:name w:val="BA4C06FC730B4E9489D60CB1630E88DF"/>
    <w:rsid w:val="00F77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اظهارنظر عمومی 28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میثاق بین‌المللی حقوق مدنی و سیاسی</vt:lpstr>
    </vt:vector>
  </TitlesOfParts>
  <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میثاق بین‌المللی حقوق مدنی و سیاسی</dc:title>
  <dc:subject/>
  <dc:creator>PC</dc:creator>
  <cp:keywords/>
  <dc:description/>
  <cp:lastModifiedBy>PC</cp:lastModifiedBy>
  <cp:revision>6</cp:revision>
  <dcterms:created xsi:type="dcterms:W3CDTF">2020-04-14T11:11:00Z</dcterms:created>
  <dcterms:modified xsi:type="dcterms:W3CDTF">2020-05-01T12:05:00Z</dcterms:modified>
</cp:coreProperties>
</file>