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B8" w:rsidRPr="00C60871" w:rsidRDefault="008F5FB8" w:rsidP="00C60871">
      <w:pPr>
        <w:pStyle w:val="NoSpacing"/>
        <w:bidi/>
        <w:jc w:val="center"/>
        <w:rPr>
          <w:rFonts w:ascii="IRANSharp" w:hAnsi="IRANSharp" w:cs="IRANSharp"/>
          <w:b/>
          <w:bCs/>
          <w:sz w:val="32"/>
          <w:szCs w:val="32"/>
        </w:rPr>
      </w:pPr>
      <w:r w:rsidRPr="00C60871">
        <w:rPr>
          <w:rFonts w:ascii="IRANSharp" w:hAnsi="IRANSharp" w:cs="IRANSharp"/>
          <w:b/>
          <w:bCs/>
          <w:sz w:val="32"/>
          <w:szCs w:val="32"/>
          <w:rtl/>
        </w:rPr>
        <w:t>اظهارنظر عمومی شمارۀ ۲۶:</w:t>
      </w:r>
      <w:r w:rsidRPr="00C60871">
        <w:rPr>
          <w:rFonts w:ascii="IRANSharp" w:hAnsi="IRANSharp" w:cs="IRANSharp"/>
          <w:b/>
          <w:bCs/>
          <w:sz w:val="32"/>
          <w:szCs w:val="32"/>
          <w:rtl/>
        </w:rPr>
        <w:br/>
        <w:t xml:space="preserve"> مسائل مربوط به ادامۀ تعهدات به میثاق بین‌المللی حقوق مدنی و سیاسی</w:t>
      </w:r>
    </w:p>
    <w:p w:rsidR="008F5FB8" w:rsidRPr="00C60871" w:rsidRDefault="008F5FB8" w:rsidP="00C60871">
      <w:pPr>
        <w:pStyle w:val="NoSpacing"/>
        <w:bidi/>
        <w:jc w:val="center"/>
        <w:rPr>
          <w:rFonts w:ascii="IRANSharp" w:hAnsi="IRANSharp" w:cs="IRANSharp"/>
          <w:b/>
          <w:bCs/>
          <w:sz w:val="28"/>
          <w:szCs w:val="28"/>
          <w:rtl/>
        </w:rPr>
      </w:pPr>
      <w:r w:rsidRPr="00C60871">
        <w:rPr>
          <w:rFonts w:ascii="IRANSharp" w:hAnsi="IRANSharp" w:cs="IRANSharp"/>
          <w:b/>
          <w:bCs/>
          <w:sz w:val="28"/>
          <w:szCs w:val="28"/>
          <w:rtl/>
        </w:rPr>
        <w:t>جلسۀ شصت‌ویکم (۱۹۹۷)</w:t>
      </w:r>
    </w:p>
    <w:p w:rsidR="008F5FB8" w:rsidRDefault="008F5FB8" w:rsidP="008F5FB8">
      <w:pPr>
        <w:bidi/>
        <w:spacing w:line="276" w:lineRule="auto"/>
        <w:jc w:val="center"/>
        <w:rPr>
          <w:rFonts w:ascii="IRANSharp" w:hAnsi="IRANSharp" w:cs="IRANSharp"/>
          <w:bCs/>
          <w:sz w:val="28"/>
          <w:szCs w:val="28"/>
          <w:rtl/>
        </w:rPr>
      </w:pPr>
    </w:p>
    <w:p w:rsidR="008F5FB8" w:rsidRDefault="008F5FB8" w:rsidP="008F5FB8">
      <w:pPr>
        <w:bidi/>
        <w:spacing w:line="276" w:lineRule="auto"/>
        <w:jc w:val="center"/>
        <w:rPr>
          <w:rFonts w:ascii="IRANSharp" w:hAnsi="IRANSharp" w:cs="IRANSharp"/>
          <w:bCs/>
          <w:sz w:val="28"/>
          <w:szCs w:val="28"/>
          <w:rtl/>
        </w:rPr>
      </w:pPr>
      <w:bookmarkStart w:id="0" w:name="_GoBack"/>
      <w:bookmarkEnd w:id="0"/>
    </w:p>
    <w:p w:rsidR="008F5FB8" w:rsidRPr="008F5FB8" w:rsidRDefault="008F5FB8" w:rsidP="008F5FB8">
      <w:pPr>
        <w:bidi/>
        <w:spacing w:line="276" w:lineRule="auto"/>
        <w:jc w:val="center"/>
        <w:rPr>
          <w:rFonts w:ascii="IRANSharp" w:hAnsi="IRANSharp" w:cs="IRANSharp"/>
          <w:bCs/>
          <w:sz w:val="28"/>
          <w:szCs w:val="28"/>
        </w:rPr>
      </w:pPr>
    </w:p>
    <w:p w:rsidR="008F5FB8" w:rsidRPr="008F5FB8" w:rsidRDefault="008F5FB8" w:rsidP="008F5FB8">
      <w:pPr>
        <w:bidi/>
        <w:spacing w:line="276" w:lineRule="auto"/>
        <w:jc w:val="both"/>
        <w:rPr>
          <w:rFonts w:ascii="IRANSharp" w:hAnsi="IRANSharp" w:cs="IRANSharp"/>
        </w:rPr>
      </w:pPr>
      <w:r w:rsidRPr="008F5FB8">
        <w:rPr>
          <w:rFonts w:ascii="IRANSharp" w:hAnsi="IRANSharp" w:cs="IRANSharp"/>
          <w:rtl/>
        </w:rPr>
        <w:t xml:space="preserve">۱. میثاق بین‌المللی حقوق مدنی و سیاسی دارای هیچ مقرراتی دربارۀ پایان تعهدات و </w:t>
      </w:r>
      <w:r>
        <w:rPr>
          <w:rFonts w:ascii="IRANSharp" w:hAnsi="IRANSharp" w:cs="IRANSharp"/>
          <w:rtl/>
        </w:rPr>
        <w:t>خارج شدن</w:t>
      </w:r>
      <w:r w:rsidRPr="008F5FB8">
        <w:rPr>
          <w:rFonts w:ascii="IRANSharp" w:hAnsi="IRANSharp" w:cs="IRANSharp"/>
          <w:rtl/>
        </w:rPr>
        <w:t xml:space="preserve"> از آن نیست. درنتیجه، ازنظر پایان تعهدات یا خروج از میثاق، باید به قوانین بین‌المللی عرفی قابل اجرا که در کنوانسیون وین در خصوص قانون معاهدات منعکس شده است، توجه کرد. بر</w:t>
      </w:r>
      <w:r>
        <w:rPr>
          <w:rFonts w:ascii="IRANSharp" w:hAnsi="IRANSharp" w:cs="IRANSharp" w:hint="cs"/>
          <w:rtl/>
        </w:rPr>
        <w:t xml:space="preserve"> </w:t>
      </w:r>
      <w:r w:rsidRPr="008F5FB8">
        <w:rPr>
          <w:rFonts w:ascii="IRANSharp" w:hAnsi="IRANSharp" w:cs="IRANSharp"/>
          <w:rtl/>
        </w:rPr>
        <w:t>این‌</w:t>
      </w:r>
      <w:r>
        <w:rPr>
          <w:rFonts w:ascii="IRANSharp" w:hAnsi="IRANSharp" w:cs="IRANSharp" w:hint="cs"/>
          <w:rtl/>
        </w:rPr>
        <w:t xml:space="preserve"> </w:t>
      </w:r>
      <w:r w:rsidRPr="008F5FB8">
        <w:rPr>
          <w:rFonts w:ascii="IRANSharp" w:hAnsi="IRANSharp" w:cs="IRANSharp"/>
          <w:rtl/>
        </w:rPr>
        <w:t xml:space="preserve">اساس، پایان تعهدات یا خروج از میثاق ممکن نیست؛ مگر اینکه ثابت شود قصد طرفین بر امکان لغو تعهدات یا خروج از معاهده یا چنین اموری، در ماهیت معاهده نهفته است. </w:t>
      </w:r>
    </w:p>
    <w:p w:rsidR="008F5FB8" w:rsidRDefault="008F5FB8" w:rsidP="008F5FB8">
      <w:pPr>
        <w:bidi/>
        <w:spacing w:line="276" w:lineRule="auto"/>
        <w:jc w:val="both"/>
        <w:rPr>
          <w:rFonts w:ascii="IRANSharp" w:hAnsi="IRANSharp" w:cs="IRANSharp"/>
          <w:rtl/>
        </w:rPr>
      </w:pPr>
    </w:p>
    <w:p w:rsidR="008F5FB8" w:rsidRDefault="008F5FB8" w:rsidP="008F5FB8">
      <w:pPr>
        <w:bidi/>
        <w:spacing w:line="276" w:lineRule="auto"/>
        <w:jc w:val="both"/>
        <w:rPr>
          <w:rFonts w:ascii="IRANSharp" w:hAnsi="IRANSharp" w:cs="IRANSharp"/>
          <w:rtl/>
        </w:rPr>
      </w:pPr>
      <w:r w:rsidRPr="008F5FB8">
        <w:rPr>
          <w:rFonts w:ascii="IRANSharp" w:hAnsi="IRANSharp" w:cs="IRANSharp"/>
          <w:rtl/>
        </w:rPr>
        <w:t>۲. درحالی‌که مقرراتی برای خروج از میثاق پیش‌بینی نشده است، مادۀ ۴۱ پاراگراف ۲ میثاق به کشور عضو اجازه می</w:t>
      </w:r>
      <w:r w:rsidRPr="008F5FB8">
        <w:rPr>
          <w:rFonts w:ascii="Arial" w:eastAsia="Mitr" w:hAnsi="Arial" w:cs="Arial" w:hint="cs"/>
          <w:cs/>
        </w:rPr>
        <w:t>‎</w:t>
      </w:r>
      <w:r w:rsidRPr="008F5FB8">
        <w:rPr>
          <w:rFonts w:ascii="IRANSharp" w:hAnsi="IRANSharp" w:cs="IRANSharp"/>
          <w:rtl/>
        </w:rPr>
        <w:t>دهد که با ارسال یک یادداشت مناسب در آن خصوص، از پذیرش صلاحیت کمیته برای بررسی ارتباطات بین دولت‌ها، خودداری کند. این امر دلیلی بر این واقعیت است که طرفین میثاق، امکان خروج از میثاق را قبول نکرده‌اند و عدم اشاره به خروج از میثاق نیز سهواً نبوده است. علاوه</w:t>
      </w:r>
      <w:r>
        <w:rPr>
          <w:rFonts w:ascii="IRANSharp" w:hAnsi="IRANSharp" w:cs="IRANSharp" w:hint="cs"/>
          <w:rtl/>
        </w:rPr>
        <w:t xml:space="preserve"> </w:t>
      </w:r>
      <w:r w:rsidRPr="008F5FB8">
        <w:rPr>
          <w:rFonts w:ascii="IRANSharp" w:hAnsi="IRANSharp" w:cs="IRANSharp"/>
          <w:rtl/>
        </w:rPr>
        <w:t>‌بر</w:t>
      </w:r>
      <w:r>
        <w:rPr>
          <w:rFonts w:ascii="IRANSharp" w:hAnsi="IRANSharp" w:cs="IRANSharp" w:hint="cs"/>
          <w:rtl/>
        </w:rPr>
        <w:t xml:space="preserve"> </w:t>
      </w:r>
      <w:r w:rsidRPr="008F5FB8">
        <w:rPr>
          <w:rFonts w:ascii="IRANSharp" w:hAnsi="IRANSharp" w:cs="IRANSharp"/>
          <w:rtl/>
        </w:rPr>
        <w:t>این پروتکل اختیاری میثاق، اجازۀ خروج را برای کشورها پیش‌بینی کرده است. در مقام مقایسه، می‌توان به کنوانسیون بین‌المللی لغو همۀ موارد تبعیض نژادی که یک سال قبل از این میثاق به تصویب رسیده است، اشاره کرد که به صراحت، اجازۀ خروج از آن را پیش‌بینی کرده است. بنابراین، می‌توان نتیجه گرفت که نویسندگان میثاق عمداً قصد مستثنی‌</w:t>
      </w:r>
      <w:r>
        <w:rPr>
          <w:rFonts w:ascii="IRANSharp" w:hAnsi="IRANSharp" w:cs="IRANSharp" w:hint="cs"/>
          <w:rtl/>
        </w:rPr>
        <w:t xml:space="preserve"> </w:t>
      </w:r>
      <w:r w:rsidRPr="008F5FB8">
        <w:rPr>
          <w:rFonts w:ascii="IRANSharp" w:hAnsi="IRANSharp" w:cs="IRANSharp"/>
          <w:rtl/>
        </w:rPr>
        <w:t xml:space="preserve">کردن امکان خروج را داشته‌اند. این امر دربارۀ پروتکل اختیاری دوم نیز که در تهیۀ پیش‌نویس آن به طور عمدی اجازۀ خروج حذف شده است، صدق می‌کند. </w:t>
      </w:r>
    </w:p>
    <w:p w:rsidR="008F5FB8" w:rsidRPr="008F5FB8" w:rsidRDefault="008F5FB8" w:rsidP="008F5FB8">
      <w:pPr>
        <w:bidi/>
        <w:spacing w:line="276" w:lineRule="auto"/>
        <w:jc w:val="both"/>
        <w:rPr>
          <w:rFonts w:ascii="IRANSharp" w:hAnsi="IRANSharp" w:cs="IRANSharp"/>
        </w:rPr>
      </w:pPr>
    </w:p>
    <w:p w:rsidR="008F5FB8" w:rsidRDefault="008F5FB8" w:rsidP="008F5FB8">
      <w:pPr>
        <w:bidi/>
        <w:spacing w:line="276" w:lineRule="auto"/>
        <w:jc w:val="both"/>
        <w:rPr>
          <w:rFonts w:ascii="IRANSharp" w:hAnsi="IRANSharp" w:cs="IRANSharp"/>
          <w:rtl/>
        </w:rPr>
      </w:pPr>
      <w:r w:rsidRPr="008F5FB8">
        <w:rPr>
          <w:rFonts w:ascii="IRANSharp" w:hAnsi="IRANSharp" w:cs="IRANSharp"/>
          <w:rtl/>
        </w:rPr>
        <w:t>۳. علاوه</w:t>
      </w:r>
      <w:r>
        <w:rPr>
          <w:rFonts w:ascii="IRANSharp" w:hAnsi="IRANSharp" w:cs="IRANSharp" w:hint="cs"/>
          <w:rtl/>
        </w:rPr>
        <w:t xml:space="preserve"> </w:t>
      </w:r>
      <w:r w:rsidRPr="008F5FB8">
        <w:rPr>
          <w:rFonts w:ascii="IRANSharp" w:hAnsi="IRANSharp" w:cs="IRANSharp"/>
          <w:rtl/>
        </w:rPr>
        <w:t>‌بر</w:t>
      </w:r>
      <w:r>
        <w:rPr>
          <w:rFonts w:ascii="IRANSharp" w:hAnsi="IRANSharp" w:cs="IRANSharp" w:hint="cs"/>
          <w:rtl/>
        </w:rPr>
        <w:t xml:space="preserve"> </w:t>
      </w:r>
      <w:r w:rsidRPr="008F5FB8">
        <w:rPr>
          <w:rFonts w:ascii="IRANSharp" w:hAnsi="IRANSharp" w:cs="IRANSharp"/>
          <w:rtl/>
        </w:rPr>
        <w:t xml:space="preserve">این، واضح است که میثاق ازجمله معاهداتی نیست که ماهیتاً اجازۀ خروج از آن وجود داشته باشد. همراه با میثاق بین‌المللی حقوق اقتصادی، اجتماعی و فرهنگی که به طور هم‌زمان تهیه و تصویب شده است، میثاق حقوق مدنی و سیاسی، حقوق بشر را که در اعلامیۀ جهانی حقوق بشر تثبیت شده، در شکل و فرمت معاهده در خود جای داده است. به‌طورکلی این سه سند در مجموع، اسناد بین‌المللی حقوق بشر نامیده می‌شوند. به‌این‌ترتیب، صرف‌نظر از نبود </w:t>
      </w:r>
      <w:r w:rsidRPr="008F5FB8">
        <w:rPr>
          <w:rFonts w:ascii="IRANSharp" w:hAnsi="IRANSharp" w:cs="IRANSharp"/>
          <w:rtl/>
        </w:rPr>
        <w:lastRenderedPageBreak/>
        <w:t xml:space="preserve">مقررات خاص دربارۀ اجازۀ خروج، میثاق خصیصۀ موقتی معمول معاهدات را ندارد؛ معاهداتی که در </w:t>
      </w:r>
      <w:r>
        <w:rPr>
          <w:rFonts w:ascii="IRANSharp" w:hAnsi="IRANSharp" w:cs="IRANSharp"/>
          <w:rtl/>
        </w:rPr>
        <w:t>آن‌ها</w:t>
      </w:r>
      <w:r w:rsidRPr="008F5FB8">
        <w:rPr>
          <w:rFonts w:ascii="IRANSharp" w:hAnsi="IRANSharp" w:cs="IRANSharp"/>
          <w:rtl/>
        </w:rPr>
        <w:t>، اجازۀ خروج به رسمیت شناخته شده است.</w:t>
      </w:r>
    </w:p>
    <w:p w:rsidR="008F5FB8" w:rsidRPr="008F5FB8" w:rsidRDefault="008F5FB8" w:rsidP="008F5FB8">
      <w:pPr>
        <w:bidi/>
        <w:spacing w:line="276" w:lineRule="auto"/>
        <w:jc w:val="both"/>
        <w:rPr>
          <w:rFonts w:ascii="IRANSharp" w:hAnsi="IRANSharp" w:cs="IRANSharp"/>
        </w:rPr>
      </w:pPr>
    </w:p>
    <w:p w:rsidR="008F5FB8" w:rsidRDefault="008F5FB8" w:rsidP="008F5FB8">
      <w:pPr>
        <w:bidi/>
        <w:spacing w:line="276" w:lineRule="auto"/>
        <w:jc w:val="both"/>
        <w:rPr>
          <w:rFonts w:ascii="IRANSharp" w:hAnsi="IRANSharp" w:cs="IRANSharp"/>
          <w:rtl/>
        </w:rPr>
      </w:pPr>
      <w:r w:rsidRPr="008F5FB8">
        <w:rPr>
          <w:rFonts w:ascii="IRANSharp" w:hAnsi="IRANSharp" w:cs="IRANSharp"/>
          <w:rtl/>
        </w:rPr>
        <w:t xml:space="preserve">۴. حقوق مندرج در میثاق، همۀ مردم ساکن در قلمرو دولت عضو را در </w:t>
      </w:r>
      <w:r>
        <w:rPr>
          <w:rFonts w:ascii="IRANSharp" w:hAnsi="IRANSharp" w:cs="IRANSharp"/>
          <w:rtl/>
        </w:rPr>
        <w:t>برمی‌گیرد</w:t>
      </w:r>
      <w:r w:rsidRPr="008F5FB8">
        <w:rPr>
          <w:rFonts w:ascii="IRANSharp" w:hAnsi="IRANSharp" w:cs="IRANSharp"/>
          <w:rtl/>
        </w:rPr>
        <w:t xml:space="preserve">. کمیتۀ حقوق بشر همان‌طور که از اقداماتش برآورد می‌شود، همواره معتقد است زمانی که مردم کشوری تحت حمایت حقوق مندرج در میثاق قرار می‌گیرند، </w:t>
      </w:r>
      <w:r>
        <w:rPr>
          <w:rFonts w:ascii="IRANSharp" w:hAnsi="IRANSharp" w:cs="IRANSharp"/>
          <w:rtl/>
        </w:rPr>
        <w:t>محروم کردن</w:t>
      </w:r>
      <w:r w:rsidRPr="008F5FB8">
        <w:rPr>
          <w:rFonts w:ascii="IRANSharp" w:hAnsi="IRANSharp" w:cs="IRANSharp"/>
          <w:rtl/>
        </w:rPr>
        <w:t xml:space="preserve"> </w:t>
      </w:r>
      <w:r>
        <w:rPr>
          <w:rFonts w:ascii="IRANSharp" w:hAnsi="IRANSharp" w:cs="IRANSharp"/>
          <w:rtl/>
        </w:rPr>
        <w:t>آن‌ها</w:t>
      </w:r>
      <w:r w:rsidRPr="008F5FB8">
        <w:rPr>
          <w:rFonts w:ascii="IRANSharp" w:hAnsi="IRANSharp" w:cs="IRANSharp"/>
          <w:rtl/>
        </w:rPr>
        <w:t xml:space="preserve"> از حقوق تضمین‌شده در میثاق، فقط با تغییر قلمرو امکان‌پذیر می‌شود و در نتیجه، همچنان به </w:t>
      </w:r>
      <w:r>
        <w:rPr>
          <w:rFonts w:ascii="IRANSharp" w:hAnsi="IRANSharp" w:cs="IRANSharp"/>
          <w:rtl/>
        </w:rPr>
        <w:t>آن‌ها</w:t>
      </w:r>
      <w:r w:rsidRPr="008F5FB8">
        <w:rPr>
          <w:rFonts w:ascii="IRANSharp" w:hAnsi="IRANSharp" w:cs="IRANSharp"/>
          <w:rtl/>
        </w:rPr>
        <w:t xml:space="preserve"> تعلق می‌گیرد. این امر صرف‌نظر از تغییر دولت کشور عضو، ازجمله تفکیک به بیش از یک حکومت یا جانشینی دولت یا هر اقدام بعدی دولت عضو است. </w:t>
      </w:r>
    </w:p>
    <w:p w:rsidR="008F5FB8" w:rsidRPr="008F5FB8" w:rsidRDefault="008F5FB8" w:rsidP="008F5FB8">
      <w:pPr>
        <w:bidi/>
        <w:spacing w:line="276" w:lineRule="auto"/>
        <w:jc w:val="both"/>
        <w:rPr>
          <w:rFonts w:ascii="IRANSharp" w:hAnsi="IRANSharp" w:cs="IRANSharp"/>
        </w:rPr>
      </w:pPr>
    </w:p>
    <w:p w:rsidR="008F5FB8" w:rsidRPr="008F5FB8" w:rsidRDefault="008F5FB8" w:rsidP="008F5FB8">
      <w:pPr>
        <w:bidi/>
        <w:spacing w:line="276" w:lineRule="auto"/>
        <w:jc w:val="both"/>
        <w:rPr>
          <w:rFonts w:ascii="IRANSharp" w:hAnsi="IRANSharp" w:cs="IRANSharp"/>
        </w:rPr>
      </w:pPr>
      <w:r w:rsidRPr="008F5FB8">
        <w:rPr>
          <w:rFonts w:ascii="IRANSharp" w:hAnsi="IRANSharp" w:cs="IRANSharp"/>
          <w:rtl/>
        </w:rPr>
        <w:t xml:space="preserve">۵. کمیته به صراحت بیان می‌کند که قوانین بین‌المللی به دولتی که میثاق را امضا کرده، به آن پیوسته یا ملحق شده است، </w:t>
      </w:r>
      <w:r>
        <w:rPr>
          <w:rFonts w:ascii="IRANSharp" w:hAnsi="IRANSharp" w:cs="IRANSharp"/>
          <w:rtl/>
        </w:rPr>
        <w:t>اجازۀ خروج از میثاق را نمی‌دهد.</w:t>
      </w:r>
      <w:r>
        <w:rPr>
          <w:rStyle w:val="FootnoteReference"/>
          <w:rFonts w:ascii="IRANSharp" w:hAnsi="IRANSharp" w:cs="IRANSharp"/>
          <w:rtl/>
        </w:rPr>
        <w:footnoteReference w:id="1"/>
      </w:r>
    </w:p>
    <w:p w:rsidR="00AC2913" w:rsidRPr="008F5FB8" w:rsidRDefault="00AC2913">
      <w:pPr>
        <w:rPr>
          <w:rFonts w:ascii="IRANSharp" w:hAnsi="IRANSharp" w:cs="IRANSharp"/>
          <w:sz w:val="22"/>
          <w:szCs w:val="22"/>
        </w:rPr>
      </w:pPr>
    </w:p>
    <w:sectPr w:rsidR="00AC2913" w:rsidRPr="008F5FB8" w:rsidSect="008F5FB8">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D4" w:rsidRDefault="00DF36D4" w:rsidP="008F5FB8">
      <w:r>
        <w:separator/>
      </w:r>
    </w:p>
  </w:endnote>
  <w:endnote w:type="continuationSeparator" w:id="0">
    <w:p w:rsidR="00DF36D4" w:rsidRDefault="00DF36D4" w:rsidP="008F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Mit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8F5FB8">
      <w:trPr>
        <w:trHeight w:val="151"/>
      </w:trPr>
      <w:tc>
        <w:tcPr>
          <w:tcW w:w="2250" w:type="pct"/>
          <w:tcBorders>
            <w:bottom w:val="single" w:sz="4" w:space="0" w:color="5B9BD5" w:themeColor="accent1"/>
          </w:tcBorders>
        </w:tcPr>
        <w:p w:rsidR="008F5FB8" w:rsidRDefault="008F5FB8" w:rsidP="00A03949">
          <w:pPr>
            <w:pStyle w:val="Header"/>
            <w:rPr>
              <w:rFonts w:asciiTheme="majorHAnsi" w:eastAsiaTheme="majorEastAsia" w:hAnsiTheme="majorHAnsi" w:cstheme="majorBidi"/>
              <w:b/>
              <w:bCs/>
            </w:rPr>
          </w:pPr>
        </w:p>
      </w:tc>
      <w:tc>
        <w:tcPr>
          <w:tcW w:w="500" w:type="pct"/>
          <w:vMerge w:val="restart"/>
          <w:noWrap/>
          <w:vAlign w:val="center"/>
        </w:tcPr>
        <w:p w:rsidR="008F5FB8" w:rsidRDefault="008F5FB8" w:rsidP="008F5FB8">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60871">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rsidR="008F5FB8" w:rsidRDefault="008F5FB8" w:rsidP="00A03949">
          <w:pPr>
            <w:pStyle w:val="Header"/>
            <w:rPr>
              <w:rFonts w:asciiTheme="majorHAnsi" w:eastAsiaTheme="majorEastAsia" w:hAnsiTheme="majorHAnsi" w:cstheme="majorBidi"/>
              <w:b/>
              <w:bCs/>
            </w:rPr>
          </w:pPr>
        </w:p>
      </w:tc>
    </w:tr>
    <w:tr w:rsidR="008F5FB8">
      <w:trPr>
        <w:trHeight w:val="150"/>
      </w:trPr>
      <w:tc>
        <w:tcPr>
          <w:tcW w:w="2250" w:type="pct"/>
          <w:tcBorders>
            <w:top w:val="single" w:sz="4" w:space="0" w:color="5B9BD5" w:themeColor="accent1"/>
          </w:tcBorders>
        </w:tcPr>
        <w:p w:rsidR="008F5FB8" w:rsidRDefault="008F5FB8" w:rsidP="00A03949">
          <w:pPr>
            <w:pStyle w:val="Header"/>
            <w:rPr>
              <w:rFonts w:asciiTheme="majorHAnsi" w:eastAsiaTheme="majorEastAsia" w:hAnsiTheme="majorHAnsi" w:cstheme="majorBidi"/>
              <w:b/>
              <w:bCs/>
            </w:rPr>
          </w:pPr>
        </w:p>
      </w:tc>
      <w:tc>
        <w:tcPr>
          <w:tcW w:w="500" w:type="pct"/>
          <w:vMerge/>
        </w:tcPr>
        <w:p w:rsidR="008F5FB8" w:rsidRDefault="008F5FB8"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F5FB8" w:rsidRDefault="008F5FB8" w:rsidP="00A03949">
          <w:pPr>
            <w:pStyle w:val="Header"/>
            <w:rPr>
              <w:rFonts w:asciiTheme="majorHAnsi" w:eastAsiaTheme="majorEastAsia" w:hAnsiTheme="majorHAnsi" w:cstheme="majorBidi"/>
              <w:b/>
              <w:bCs/>
            </w:rPr>
          </w:pPr>
        </w:p>
      </w:tc>
    </w:tr>
  </w:tbl>
  <w:p w:rsidR="008F5FB8" w:rsidRDefault="008F5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D4" w:rsidRDefault="00DF36D4" w:rsidP="008F5FB8">
      <w:r>
        <w:separator/>
      </w:r>
    </w:p>
  </w:footnote>
  <w:footnote w:type="continuationSeparator" w:id="0">
    <w:p w:rsidR="00DF36D4" w:rsidRDefault="00DF36D4" w:rsidP="008F5FB8">
      <w:r>
        <w:continuationSeparator/>
      </w:r>
    </w:p>
  </w:footnote>
  <w:footnote w:id="1">
    <w:p w:rsidR="008F5FB8" w:rsidRPr="008F5FB8" w:rsidRDefault="008F5FB8" w:rsidP="008F5FB8">
      <w:pPr>
        <w:pStyle w:val="FootnoteText"/>
        <w:bidi/>
        <w:rPr>
          <w:rFonts w:ascii="IRANSharp" w:hAnsi="IRANSharp" w:cs="IRANSharp"/>
          <w:sz w:val="16"/>
          <w:szCs w:val="16"/>
          <w:rtl/>
          <w:lang w:bidi="fa-IR"/>
        </w:rPr>
      </w:pPr>
      <w:r w:rsidRPr="008F5FB8">
        <w:rPr>
          <w:rStyle w:val="FootnoteReference"/>
          <w:rFonts w:ascii="IRANSharp" w:hAnsi="IRANSharp" w:cs="IRANSharp"/>
          <w:sz w:val="16"/>
          <w:szCs w:val="16"/>
        </w:rPr>
        <w:footnoteRef/>
      </w:r>
      <w:r w:rsidRPr="008F5FB8">
        <w:rPr>
          <w:rFonts w:ascii="IRANSharp" w:hAnsi="IRANSharp" w:cs="IRANSharp"/>
          <w:sz w:val="16"/>
          <w:szCs w:val="16"/>
        </w:rPr>
        <w:t xml:space="preserve"> </w:t>
      </w:r>
      <w:r w:rsidRPr="008F5FB8">
        <w:rPr>
          <w:rFonts w:ascii="IRANSharp" w:hAnsi="IRANSharp" w:cs="IRANSharp"/>
          <w:color w:val="202124"/>
          <w:spacing w:val="2"/>
          <w:sz w:val="16"/>
          <w:szCs w:val="16"/>
          <w:shd w:val="clear" w:color="auto" w:fill="FFFFFF"/>
          <w:rtl/>
        </w:rPr>
        <w:t xml:space="preserve">لطفاً برای متن اصلی </w:t>
      </w:r>
      <w:hyperlink r:id="rId1" w:history="1">
        <w:r w:rsidRPr="008F5FB8">
          <w:rPr>
            <w:rStyle w:val="Hyperlink"/>
            <w:rFonts w:ascii="IRANSharp" w:hAnsi="IRANSharp" w:cs="IRANSharp"/>
            <w:spacing w:val="2"/>
            <w:sz w:val="16"/>
            <w:szCs w:val="16"/>
            <w:shd w:val="clear" w:color="auto" w:fill="FFFFFF"/>
            <w:rtl/>
          </w:rPr>
          <w:t>اینجا</w:t>
        </w:r>
      </w:hyperlink>
      <w:r w:rsidRPr="008F5FB8">
        <w:rPr>
          <w:rFonts w:ascii="IRANSharp" w:hAnsi="IRANSharp" w:cs="IRANSharp"/>
          <w:color w:val="202124"/>
          <w:spacing w:val="2"/>
          <w:sz w:val="16"/>
          <w:szCs w:val="16"/>
          <w:shd w:val="clear" w:color="auto" w:fill="FFFFFF"/>
          <w:rtl/>
        </w:rPr>
        <w:t xml:space="preserve"> را نگاه کنید</w:t>
      </w:r>
      <w:r w:rsidRPr="008F5FB8">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B8" w:rsidRDefault="00DF36D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88813"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36588E2BFBB54F39B89831A4719D4F2F"/>
      </w:placeholder>
      <w:dataBinding w:prefixMappings="xmlns:ns0='http://schemas.openxmlformats.org/package/2006/metadata/core-properties' xmlns:ns1='http://purl.org/dc/elements/1.1/'" w:xpath="/ns0:coreProperties[1]/ns1:title[1]" w:storeItemID="{6C3C8BC8-F283-45AE-878A-BAB7291924A1}"/>
      <w:text/>
    </w:sdtPr>
    <w:sdtEndPr/>
    <w:sdtContent>
      <w:p w:rsidR="008F5FB8" w:rsidRPr="008F5FB8" w:rsidRDefault="008F5FB8" w:rsidP="008F5FB8">
        <w:pPr>
          <w:pStyle w:val="Header"/>
          <w:pBdr>
            <w:between w:val="single" w:sz="4" w:space="1" w:color="5B9BD5" w:themeColor="accent1"/>
          </w:pBdr>
          <w:bidi/>
          <w:spacing w:line="276" w:lineRule="auto"/>
          <w:rPr>
            <w:rFonts w:ascii="IRANSharp" w:hAnsi="IRANSharp" w:cs="IRANSharp"/>
            <w:sz w:val="16"/>
            <w:szCs w:val="16"/>
          </w:rPr>
        </w:pPr>
        <w:r w:rsidRPr="008F5FB8">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DD316DC9AA09407E9BE46773A167AEB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F5FB8" w:rsidRPr="008F5FB8" w:rsidRDefault="008F5FB8" w:rsidP="008F5FB8">
        <w:pPr>
          <w:pStyle w:val="Header"/>
          <w:pBdr>
            <w:between w:val="single" w:sz="4" w:space="1" w:color="5B9BD5" w:themeColor="accent1"/>
          </w:pBdr>
          <w:bidi/>
          <w:spacing w:line="276" w:lineRule="auto"/>
          <w:rPr>
            <w:rFonts w:ascii="IRANSharp" w:hAnsi="IRANSharp" w:cs="IRANSharp"/>
            <w:sz w:val="16"/>
            <w:szCs w:val="16"/>
          </w:rPr>
        </w:pPr>
        <w:r w:rsidRPr="008F5FB8">
          <w:rPr>
            <w:rFonts w:ascii="IRANSharp" w:hAnsi="IRANSharp" w:cs="IRANSharp"/>
            <w:sz w:val="16"/>
            <w:szCs w:val="16"/>
            <w:rtl/>
          </w:rPr>
          <w:t>اظهارنظر عمومی 26</w:t>
        </w:r>
      </w:p>
    </w:sdtContent>
  </w:sdt>
  <w:p w:rsidR="008F5FB8" w:rsidRPr="008F5FB8" w:rsidRDefault="00DF36D4" w:rsidP="008F5FB8">
    <w:pPr>
      <w:pStyle w:val="Header"/>
      <w:bidi/>
      <w:rPr>
        <w:rFonts w:ascii="IRANSharp" w:hAnsi="IRANSharp" w:cs="IRANSharp"/>
        <w:sz w:val="16"/>
        <w:szCs w:val="16"/>
      </w:rPr>
    </w:pPr>
    <w:r>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88814"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FB8" w:rsidRDefault="00DF36D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88812"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C8"/>
    <w:rsid w:val="001E0399"/>
    <w:rsid w:val="008F5FB8"/>
    <w:rsid w:val="00AA55C8"/>
    <w:rsid w:val="00AC2913"/>
    <w:rsid w:val="00C60871"/>
    <w:rsid w:val="00DF3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81688F3-8895-4E42-AB4D-53DCFDB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FB8"/>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FB8"/>
    <w:pPr>
      <w:tabs>
        <w:tab w:val="center" w:pos="4680"/>
        <w:tab w:val="right" w:pos="9360"/>
      </w:tabs>
    </w:pPr>
  </w:style>
  <w:style w:type="character" w:customStyle="1" w:styleId="HeaderChar">
    <w:name w:val="Header Char"/>
    <w:basedOn w:val="DefaultParagraphFont"/>
    <w:link w:val="Header"/>
    <w:uiPriority w:val="99"/>
    <w:rsid w:val="008F5FB8"/>
    <w:rPr>
      <w:rFonts w:ascii="Calibri" w:eastAsia="Calibri" w:hAnsi="Calibri" w:cs="Calibri"/>
      <w:sz w:val="24"/>
      <w:szCs w:val="24"/>
      <w:lang w:val="en-GB"/>
    </w:rPr>
  </w:style>
  <w:style w:type="paragraph" w:styleId="Footer">
    <w:name w:val="footer"/>
    <w:basedOn w:val="Normal"/>
    <w:link w:val="FooterChar"/>
    <w:uiPriority w:val="99"/>
    <w:unhideWhenUsed/>
    <w:rsid w:val="008F5FB8"/>
    <w:pPr>
      <w:tabs>
        <w:tab w:val="center" w:pos="4680"/>
        <w:tab w:val="right" w:pos="9360"/>
      </w:tabs>
    </w:pPr>
  </w:style>
  <w:style w:type="character" w:customStyle="1" w:styleId="FooterChar">
    <w:name w:val="Footer Char"/>
    <w:basedOn w:val="DefaultParagraphFont"/>
    <w:link w:val="Footer"/>
    <w:uiPriority w:val="99"/>
    <w:rsid w:val="008F5FB8"/>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8F5FB8"/>
    <w:rPr>
      <w:sz w:val="20"/>
      <w:szCs w:val="20"/>
    </w:rPr>
  </w:style>
  <w:style w:type="character" w:customStyle="1" w:styleId="FootnoteTextChar">
    <w:name w:val="Footnote Text Char"/>
    <w:basedOn w:val="DefaultParagraphFont"/>
    <w:link w:val="FootnoteText"/>
    <w:uiPriority w:val="99"/>
    <w:semiHidden/>
    <w:rsid w:val="008F5FB8"/>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8F5FB8"/>
    <w:rPr>
      <w:vertAlign w:val="superscript"/>
    </w:rPr>
  </w:style>
  <w:style w:type="character" w:styleId="Hyperlink">
    <w:name w:val="Hyperlink"/>
    <w:basedOn w:val="DefaultParagraphFont"/>
    <w:uiPriority w:val="99"/>
    <w:unhideWhenUsed/>
    <w:rsid w:val="008F5FB8"/>
    <w:rPr>
      <w:color w:val="0563C1" w:themeColor="hyperlink"/>
      <w:u w:val="single"/>
    </w:rPr>
  </w:style>
  <w:style w:type="paragraph" w:styleId="NoSpacing">
    <w:name w:val="No Spacing"/>
    <w:link w:val="NoSpacingChar"/>
    <w:uiPriority w:val="1"/>
    <w:qFormat/>
    <w:rsid w:val="008F5FB8"/>
    <w:pPr>
      <w:spacing w:after="0" w:line="240" w:lineRule="auto"/>
    </w:pPr>
    <w:rPr>
      <w:rFonts w:eastAsiaTheme="minorEastAsia"/>
    </w:rPr>
  </w:style>
  <w:style w:type="character" w:customStyle="1" w:styleId="NoSpacingChar">
    <w:name w:val="No Spacing Char"/>
    <w:basedOn w:val="DefaultParagraphFont"/>
    <w:link w:val="NoSpacing"/>
    <w:uiPriority w:val="1"/>
    <w:rsid w:val="008F5F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21%2fRev.1%2fAdd.8%2fRev.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588E2BFBB54F39B89831A4719D4F2F"/>
        <w:category>
          <w:name w:val="General"/>
          <w:gallery w:val="placeholder"/>
        </w:category>
        <w:types>
          <w:type w:val="bbPlcHdr"/>
        </w:types>
        <w:behaviors>
          <w:behavior w:val="content"/>
        </w:behaviors>
        <w:guid w:val="{CE959084-9DA7-46DE-8AB7-B603B83EB133}"/>
      </w:docPartPr>
      <w:docPartBody>
        <w:p w:rsidR="0076545D" w:rsidRDefault="00D44E02" w:rsidP="00D44E02">
          <w:pPr>
            <w:pStyle w:val="36588E2BFBB54F39B89831A4719D4F2F"/>
          </w:pPr>
          <w:r>
            <w:t>[Type the document title]</w:t>
          </w:r>
        </w:p>
      </w:docPartBody>
    </w:docPart>
    <w:docPart>
      <w:docPartPr>
        <w:name w:val="DD316DC9AA09407E9BE46773A167AEBD"/>
        <w:category>
          <w:name w:val="General"/>
          <w:gallery w:val="placeholder"/>
        </w:category>
        <w:types>
          <w:type w:val="bbPlcHdr"/>
        </w:types>
        <w:behaviors>
          <w:behavior w:val="content"/>
        </w:behaviors>
        <w:guid w:val="{9DD87567-FFC5-4968-B665-5F5DDC687C45}"/>
      </w:docPartPr>
      <w:docPartBody>
        <w:p w:rsidR="0076545D" w:rsidRDefault="00D44E02" w:rsidP="00D44E02">
          <w:pPr>
            <w:pStyle w:val="DD316DC9AA09407E9BE46773A167AEB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Mit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02"/>
    <w:rsid w:val="005E6B73"/>
    <w:rsid w:val="006A42D1"/>
    <w:rsid w:val="0076545D"/>
    <w:rsid w:val="00D44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88E2BFBB54F39B89831A4719D4F2F">
    <w:name w:val="36588E2BFBB54F39B89831A4719D4F2F"/>
    <w:rsid w:val="00D44E02"/>
  </w:style>
  <w:style w:type="paragraph" w:customStyle="1" w:styleId="DD316DC9AA09407E9BE46773A167AEBD">
    <w:name w:val="DD316DC9AA09407E9BE46773A167AEBD"/>
    <w:rsid w:val="00D44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26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3</cp:revision>
  <dcterms:created xsi:type="dcterms:W3CDTF">2020-04-14T11:01:00Z</dcterms:created>
  <dcterms:modified xsi:type="dcterms:W3CDTF">2020-05-01T12:17:00Z</dcterms:modified>
</cp:coreProperties>
</file>